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middeldearcering1-accent3"/>
        <w:tblW w:w="0" w:type="auto"/>
        <w:tblLook w:val="04A0" w:firstRow="1" w:lastRow="0" w:firstColumn="1" w:lastColumn="0" w:noHBand="0" w:noVBand="1"/>
      </w:tblPr>
      <w:tblGrid>
        <w:gridCol w:w="3516"/>
        <w:gridCol w:w="1841"/>
        <w:gridCol w:w="1363"/>
        <w:gridCol w:w="1363"/>
        <w:gridCol w:w="1363"/>
        <w:gridCol w:w="1363"/>
        <w:gridCol w:w="1363"/>
      </w:tblGrid>
      <w:tr w:rsidR="001A562F" w14:paraId="189C372A" w14:textId="420A5027" w:rsidTr="005D1B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013779D0" w14:textId="77777777" w:rsidR="001A562F" w:rsidRDefault="001A562F" w:rsidP="001A562F">
            <w:r>
              <w:t>Omschrijving</w:t>
            </w:r>
          </w:p>
        </w:tc>
        <w:tc>
          <w:tcPr>
            <w:tcW w:w="1841" w:type="dxa"/>
          </w:tcPr>
          <w:p w14:paraId="4848D829" w14:textId="773D5D5E"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Jaarrekening 2021</w:t>
            </w:r>
          </w:p>
        </w:tc>
        <w:tc>
          <w:tcPr>
            <w:tcW w:w="1363" w:type="dxa"/>
          </w:tcPr>
          <w:p w14:paraId="610B6D2D" w14:textId="29B4E0FF"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Begroting 2022</w:t>
            </w:r>
          </w:p>
        </w:tc>
        <w:tc>
          <w:tcPr>
            <w:tcW w:w="1363" w:type="dxa"/>
          </w:tcPr>
          <w:p w14:paraId="1F5961EC" w14:textId="0E2B6324"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Begroting 2023</w:t>
            </w:r>
          </w:p>
        </w:tc>
        <w:tc>
          <w:tcPr>
            <w:tcW w:w="1363" w:type="dxa"/>
          </w:tcPr>
          <w:p w14:paraId="1B0393F4" w14:textId="1C5D3C22"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Begroting 2024</w:t>
            </w:r>
          </w:p>
        </w:tc>
        <w:tc>
          <w:tcPr>
            <w:tcW w:w="1363" w:type="dxa"/>
          </w:tcPr>
          <w:p w14:paraId="054D599A" w14:textId="1A479550"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Begroting 2025</w:t>
            </w:r>
          </w:p>
        </w:tc>
        <w:tc>
          <w:tcPr>
            <w:tcW w:w="1363" w:type="dxa"/>
          </w:tcPr>
          <w:p w14:paraId="20B1BAF7" w14:textId="196DEC3E" w:rsidR="001A562F" w:rsidRDefault="001A562F" w:rsidP="001A562F">
            <w:pPr>
              <w:jc w:val="center"/>
              <w:cnfStyle w:val="100000000000" w:firstRow="1" w:lastRow="0" w:firstColumn="0" w:lastColumn="0" w:oddVBand="0" w:evenVBand="0" w:oddHBand="0" w:evenHBand="0" w:firstRowFirstColumn="0" w:firstRowLastColumn="0" w:lastRowFirstColumn="0" w:lastRowLastColumn="0"/>
            </w:pPr>
            <w:r>
              <w:t>Begroting 2026</w:t>
            </w:r>
          </w:p>
        </w:tc>
      </w:tr>
      <w:tr w:rsidR="001A562F" w14:paraId="0F99A52D" w14:textId="5D5E648E"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3BFCFF6E" w14:textId="77777777" w:rsidR="001A562F" w:rsidRDefault="001A562F" w:rsidP="001A562F">
            <w:r>
              <w:t>CPC leden</w:t>
            </w:r>
          </w:p>
        </w:tc>
        <w:tc>
          <w:tcPr>
            <w:tcW w:w="1841" w:type="dxa"/>
          </w:tcPr>
          <w:p w14:paraId="73DFE923" w14:textId="380A606C"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30.989</w:t>
            </w:r>
          </w:p>
        </w:tc>
        <w:tc>
          <w:tcPr>
            <w:tcW w:w="1363" w:type="dxa"/>
          </w:tcPr>
          <w:p w14:paraId="4EF74751" w14:textId="2646D24B"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32.541</w:t>
            </w:r>
          </w:p>
        </w:tc>
        <w:tc>
          <w:tcPr>
            <w:tcW w:w="1363" w:type="dxa"/>
          </w:tcPr>
          <w:p w14:paraId="1B8FA91B" w14:textId="0A1623B8"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32.541</w:t>
            </w:r>
          </w:p>
        </w:tc>
        <w:tc>
          <w:tcPr>
            <w:tcW w:w="1363" w:type="dxa"/>
          </w:tcPr>
          <w:p w14:paraId="55444E76" w14:textId="564262D6"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32.541</w:t>
            </w:r>
          </w:p>
        </w:tc>
        <w:tc>
          <w:tcPr>
            <w:tcW w:w="1363" w:type="dxa"/>
          </w:tcPr>
          <w:p w14:paraId="7221AC63" w14:textId="0025B2ED"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32.541</w:t>
            </w:r>
          </w:p>
        </w:tc>
        <w:tc>
          <w:tcPr>
            <w:tcW w:w="1363" w:type="dxa"/>
          </w:tcPr>
          <w:p w14:paraId="094478BA" w14:textId="5C21BC4D"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32.541</w:t>
            </w:r>
          </w:p>
        </w:tc>
      </w:tr>
      <w:tr w:rsidR="001A562F" w14:paraId="79BB9CA9" w14:textId="22D82295"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14625EB5" w14:textId="77777777" w:rsidR="001A562F" w:rsidRDefault="001A562F" w:rsidP="001A562F">
            <w:r>
              <w:t>Aspirant leden</w:t>
            </w:r>
          </w:p>
        </w:tc>
        <w:tc>
          <w:tcPr>
            <w:tcW w:w="1841" w:type="dxa"/>
          </w:tcPr>
          <w:p w14:paraId="1CD7F171" w14:textId="177D052D"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3.325</w:t>
            </w:r>
          </w:p>
        </w:tc>
        <w:tc>
          <w:tcPr>
            <w:tcW w:w="1363" w:type="dxa"/>
          </w:tcPr>
          <w:p w14:paraId="2F78FF54" w14:textId="6C787DCD"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r w:rsidRPr="008F22C5">
              <w:t>708</w:t>
            </w:r>
          </w:p>
        </w:tc>
        <w:tc>
          <w:tcPr>
            <w:tcW w:w="1363" w:type="dxa"/>
          </w:tcPr>
          <w:p w14:paraId="36F8379D" w14:textId="11086E57"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r w:rsidRPr="008F22C5">
              <w:t>708</w:t>
            </w:r>
          </w:p>
        </w:tc>
        <w:tc>
          <w:tcPr>
            <w:tcW w:w="1363" w:type="dxa"/>
          </w:tcPr>
          <w:p w14:paraId="127AF6D7" w14:textId="7C14B4ED"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r w:rsidRPr="008F22C5">
              <w:t>708</w:t>
            </w:r>
          </w:p>
        </w:tc>
        <w:tc>
          <w:tcPr>
            <w:tcW w:w="1363" w:type="dxa"/>
          </w:tcPr>
          <w:p w14:paraId="5FD66A98" w14:textId="6421384B"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708</w:t>
            </w:r>
          </w:p>
        </w:tc>
        <w:tc>
          <w:tcPr>
            <w:tcW w:w="1363" w:type="dxa"/>
          </w:tcPr>
          <w:p w14:paraId="58B36BA5" w14:textId="56CC6851"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708</w:t>
            </w:r>
          </w:p>
        </w:tc>
      </w:tr>
      <w:tr w:rsidR="001A562F" w14:paraId="343A3FD6" w14:textId="763577A6"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shd w:val="clear" w:color="auto" w:fill="auto"/>
          </w:tcPr>
          <w:p w14:paraId="2D76067E" w14:textId="77777777" w:rsidR="001A562F" w:rsidRDefault="001A562F" w:rsidP="001A562F">
            <w:r>
              <w:t>Geassocieerde leden</w:t>
            </w:r>
          </w:p>
        </w:tc>
        <w:tc>
          <w:tcPr>
            <w:tcW w:w="1841" w:type="dxa"/>
            <w:shd w:val="clear" w:color="auto" w:fill="auto"/>
          </w:tcPr>
          <w:p w14:paraId="23E3D66F" w14:textId="0D5DF2D2" w:rsidR="001A562F" w:rsidRPr="00C173AB" w:rsidRDefault="004023F1" w:rsidP="001A562F">
            <w:pPr>
              <w:jc w:val="center"/>
              <w:cnfStyle w:val="000000100000" w:firstRow="0" w:lastRow="0" w:firstColumn="0" w:lastColumn="0" w:oddVBand="0" w:evenVBand="0" w:oddHBand="1" w:evenHBand="0" w:firstRowFirstColumn="0" w:firstRowLastColumn="0" w:lastRowFirstColumn="0" w:lastRowLastColumn="0"/>
            </w:pPr>
            <w:r>
              <w:t>1.524</w:t>
            </w:r>
          </w:p>
        </w:tc>
        <w:tc>
          <w:tcPr>
            <w:tcW w:w="1363" w:type="dxa"/>
          </w:tcPr>
          <w:p w14:paraId="11BA8415" w14:textId="5EDA19BF"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2.145</w:t>
            </w:r>
          </w:p>
        </w:tc>
        <w:tc>
          <w:tcPr>
            <w:tcW w:w="1363" w:type="dxa"/>
          </w:tcPr>
          <w:p w14:paraId="512066AA" w14:textId="53DCB478"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2.145</w:t>
            </w:r>
          </w:p>
        </w:tc>
        <w:tc>
          <w:tcPr>
            <w:tcW w:w="1363" w:type="dxa"/>
          </w:tcPr>
          <w:p w14:paraId="7906F03B" w14:textId="1B83DCC5"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2.145</w:t>
            </w:r>
          </w:p>
        </w:tc>
        <w:tc>
          <w:tcPr>
            <w:tcW w:w="1363" w:type="dxa"/>
          </w:tcPr>
          <w:p w14:paraId="65140A81" w14:textId="2FB5552B"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2.145</w:t>
            </w:r>
          </w:p>
        </w:tc>
        <w:tc>
          <w:tcPr>
            <w:tcW w:w="1363" w:type="dxa"/>
          </w:tcPr>
          <w:p w14:paraId="7C3C0BEB" w14:textId="642F10E6"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1.524</w:t>
            </w:r>
          </w:p>
        </w:tc>
      </w:tr>
      <w:tr w:rsidR="001A562F" w14:paraId="73929ED2" w14:textId="26A236E0"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39AFB448" w14:textId="77777777" w:rsidR="001A562F" w:rsidRDefault="001A562F" w:rsidP="001A562F">
            <w:r>
              <w:t>Rente</w:t>
            </w:r>
          </w:p>
        </w:tc>
        <w:tc>
          <w:tcPr>
            <w:tcW w:w="1841" w:type="dxa"/>
          </w:tcPr>
          <w:p w14:paraId="24A40932" w14:textId="68390C19"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67D3F51D" w14:textId="51AF57DA"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6339588F" w14:textId="4ECA3251"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62C0EB11" w14:textId="3DF92B63"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5D066153" w14:textId="5A91249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381FF6A2" w14:textId="7CA83AF1"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0</w:t>
            </w:r>
          </w:p>
        </w:tc>
      </w:tr>
      <w:tr w:rsidR="001A562F" w14:paraId="11BA6082" w14:textId="3D4574BA"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5AE3E4C9" w14:textId="77777777" w:rsidR="001A562F" w:rsidRDefault="001A562F" w:rsidP="001A562F">
            <w:r>
              <w:t>Congres in eigen beheer</w:t>
            </w:r>
          </w:p>
        </w:tc>
        <w:tc>
          <w:tcPr>
            <w:tcW w:w="1841" w:type="dxa"/>
          </w:tcPr>
          <w:p w14:paraId="73CCCEA7" w14:textId="6F92028E"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0</w:t>
            </w:r>
          </w:p>
        </w:tc>
        <w:tc>
          <w:tcPr>
            <w:tcW w:w="1363" w:type="dxa"/>
          </w:tcPr>
          <w:p w14:paraId="4BA52971" w14:textId="086D44CE"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16.000</w:t>
            </w:r>
          </w:p>
        </w:tc>
        <w:tc>
          <w:tcPr>
            <w:tcW w:w="1363" w:type="dxa"/>
          </w:tcPr>
          <w:p w14:paraId="751B238D" w14:textId="343F9F5C"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16.000</w:t>
            </w:r>
          </w:p>
        </w:tc>
        <w:tc>
          <w:tcPr>
            <w:tcW w:w="1363" w:type="dxa"/>
          </w:tcPr>
          <w:p w14:paraId="089AEFC5" w14:textId="0782AE5A"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16.000</w:t>
            </w:r>
          </w:p>
        </w:tc>
        <w:tc>
          <w:tcPr>
            <w:tcW w:w="1363" w:type="dxa"/>
          </w:tcPr>
          <w:p w14:paraId="565B4777" w14:textId="1DEB6F8E"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16.000</w:t>
            </w:r>
          </w:p>
        </w:tc>
        <w:tc>
          <w:tcPr>
            <w:tcW w:w="1363" w:type="dxa"/>
          </w:tcPr>
          <w:p w14:paraId="2C9BCF2D" w14:textId="421E2726"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16.000</w:t>
            </w:r>
          </w:p>
        </w:tc>
      </w:tr>
      <w:tr w:rsidR="001A562F" w14:paraId="374DF4FB" w14:textId="7067AF63"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36151718" w14:textId="77777777" w:rsidR="001A562F" w:rsidRDefault="001A562F" w:rsidP="001A562F">
            <w:r>
              <w:t>TPC in eigen beheer</w:t>
            </w:r>
          </w:p>
        </w:tc>
        <w:tc>
          <w:tcPr>
            <w:tcW w:w="1841" w:type="dxa"/>
          </w:tcPr>
          <w:p w14:paraId="6223D294" w14:textId="30D6EDE5"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29.878</w:t>
            </w:r>
          </w:p>
        </w:tc>
        <w:tc>
          <w:tcPr>
            <w:tcW w:w="1363" w:type="dxa"/>
          </w:tcPr>
          <w:p w14:paraId="4B5818DD" w14:textId="627AA598"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33.786</w:t>
            </w:r>
          </w:p>
        </w:tc>
        <w:tc>
          <w:tcPr>
            <w:tcW w:w="1363" w:type="dxa"/>
          </w:tcPr>
          <w:p w14:paraId="1B83CDE7" w14:textId="3B78CA4F"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33.786</w:t>
            </w:r>
          </w:p>
        </w:tc>
        <w:tc>
          <w:tcPr>
            <w:tcW w:w="1363" w:type="dxa"/>
          </w:tcPr>
          <w:p w14:paraId="33C5AA3A" w14:textId="32548841"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33.786</w:t>
            </w:r>
          </w:p>
        </w:tc>
        <w:tc>
          <w:tcPr>
            <w:tcW w:w="1363" w:type="dxa"/>
          </w:tcPr>
          <w:p w14:paraId="2F5E5E07" w14:textId="2FC92ABB"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33.786</w:t>
            </w:r>
          </w:p>
        </w:tc>
        <w:tc>
          <w:tcPr>
            <w:tcW w:w="1363" w:type="dxa"/>
          </w:tcPr>
          <w:p w14:paraId="54C05217" w14:textId="241CDDFC"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33.786</w:t>
            </w:r>
          </w:p>
        </w:tc>
      </w:tr>
      <w:tr w:rsidR="001A562F" w14:paraId="0406D7D1" w14:textId="711A1033"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44BC072B" w14:textId="77777777" w:rsidR="001A562F" w:rsidRDefault="001A562F" w:rsidP="001A562F">
            <w:r>
              <w:t>TOTAAL BATEN</w:t>
            </w:r>
          </w:p>
        </w:tc>
        <w:tc>
          <w:tcPr>
            <w:tcW w:w="1841" w:type="dxa"/>
          </w:tcPr>
          <w:p w14:paraId="7C6BC91F" w14:textId="4E108DBD"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65.715</w:t>
            </w:r>
          </w:p>
        </w:tc>
        <w:tc>
          <w:tcPr>
            <w:tcW w:w="1363" w:type="dxa"/>
          </w:tcPr>
          <w:p w14:paraId="66359BC8" w14:textId="73CDC47C"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w:t>
            </w:r>
            <w:r>
              <w:t>5</w:t>
            </w:r>
            <w:r w:rsidRPr="008F22C5">
              <w:t>.</w:t>
            </w:r>
            <w:r>
              <w:t>180</w:t>
            </w:r>
          </w:p>
        </w:tc>
        <w:tc>
          <w:tcPr>
            <w:tcW w:w="1363" w:type="dxa"/>
          </w:tcPr>
          <w:p w14:paraId="61FE3E9F" w14:textId="2BB74130"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w:t>
            </w:r>
            <w:r>
              <w:t>5</w:t>
            </w:r>
            <w:r w:rsidRPr="008F22C5">
              <w:t>.</w:t>
            </w:r>
            <w:r w:rsidR="00E37ADC">
              <w:t>180</w:t>
            </w:r>
          </w:p>
        </w:tc>
        <w:tc>
          <w:tcPr>
            <w:tcW w:w="1363" w:type="dxa"/>
          </w:tcPr>
          <w:p w14:paraId="100AEE9F" w14:textId="6EA5C208"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w:t>
            </w:r>
            <w:r>
              <w:t>5</w:t>
            </w:r>
            <w:r w:rsidRPr="008F22C5">
              <w:t>.</w:t>
            </w:r>
            <w:r>
              <w:t>180</w:t>
            </w:r>
          </w:p>
        </w:tc>
        <w:tc>
          <w:tcPr>
            <w:tcW w:w="1363" w:type="dxa"/>
          </w:tcPr>
          <w:p w14:paraId="7D3743DE" w14:textId="6AC2BF80"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85.180</w:t>
            </w:r>
          </w:p>
        </w:tc>
        <w:tc>
          <w:tcPr>
            <w:tcW w:w="1363" w:type="dxa"/>
          </w:tcPr>
          <w:p w14:paraId="0FEC582F" w14:textId="6060C7F0"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85.180</w:t>
            </w:r>
          </w:p>
        </w:tc>
      </w:tr>
      <w:tr w:rsidR="001A562F" w14:paraId="133E6CA0" w14:textId="78FFCD06"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15921F5B" w14:textId="77777777" w:rsidR="001A562F" w:rsidRDefault="001A562F" w:rsidP="001A562F"/>
        </w:tc>
        <w:tc>
          <w:tcPr>
            <w:tcW w:w="1841" w:type="dxa"/>
          </w:tcPr>
          <w:p w14:paraId="21C9A2E7"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4D7C9584"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53801EF7"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1F4B435C"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6FDE0F52"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08696A1A"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r>
      <w:tr w:rsidR="001A562F" w14:paraId="46E28761" w14:textId="4F1811EE"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23AD7C00" w14:textId="77777777" w:rsidR="001A562F" w:rsidRDefault="001A562F" w:rsidP="001A562F">
            <w:r>
              <w:t>Algemene Kosten</w:t>
            </w:r>
          </w:p>
        </w:tc>
        <w:tc>
          <w:tcPr>
            <w:tcW w:w="1841" w:type="dxa"/>
          </w:tcPr>
          <w:p w14:paraId="517AC4CB" w14:textId="2D296986"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248</w:t>
            </w:r>
          </w:p>
        </w:tc>
        <w:tc>
          <w:tcPr>
            <w:tcW w:w="1363" w:type="dxa"/>
          </w:tcPr>
          <w:p w14:paraId="2C12D8A5" w14:textId="7A21DCB4"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1.500</w:t>
            </w:r>
          </w:p>
        </w:tc>
        <w:tc>
          <w:tcPr>
            <w:tcW w:w="1363" w:type="dxa"/>
          </w:tcPr>
          <w:p w14:paraId="39022491" w14:textId="764387F9"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1.500</w:t>
            </w:r>
          </w:p>
        </w:tc>
        <w:tc>
          <w:tcPr>
            <w:tcW w:w="1363" w:type="dxa"/>
          </w:tcPr>
          <w:p w14:paraId="6C6A0CC0" w14:textId="24526698"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1.500</w:t>
            </w:r>
          </w:p>
        </w:tc>
        <w:tc>
          <w:tcPr>
            <w:tcW w:w="1363" w:type="dxa"/>
          </w:tcPr>
          <w:p w14:paraId="4C847EE3" w14:textId="568AB6EC"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1.500</w:t>
            </w:r>
          </w:p>
        </w:tc>
        <w:tc>
          <w:tcPr>
            <w:tcW w:w="1363" w:type="dxa"/>
          </w:tcPr>
          <w:p w14:paraId="6974B0EC" w14:textId="479EA4E1"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1.500</w:t>
            </w:r>
          </w:p>
        </w:tc>
      </w:tr>
      <w:tr w:rsidR="001A562F" w14:paraId="454045B0" w14:textId="3CB4494B"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7B70727F" w14:textId="77777777" w:rsidR="001A562F" w:rsidRDefault="001A562F" w:rsidP="001A562F">
            <w:r>
              <w:t>Vaktechnische commissie</w:t>
            </w:r>
          </w:p>
        </w:tc>
        <w:tc>
          <w:tcPr>
            <w:tcW w:w="1841" w:type="dxa"/>
          </w:tcPr>
          <w:p w14:paraId="23E55F4F" w14:textId="28C21625"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3603DF0E" w14:textId="3F0CFD16"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1.000</w:t>
            </w:r>
          </w:p>
        </w:tc>
        <w:tc>
          <w:tcPr>
            <w:tcW w:w="1363" w:type="dxa"/>
          </w:tcPr>
          <w:p w14:paraId="4D9CAE19" w14:textId="2DFD102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1.000</w:t>
            </w:r>
          </w:p>
        </w:tc>
        <w:tc>
          <w:tcPr>
            <w:tcW w:w="1363" w:type="dxa"/>
          </w:tcPr>
          <w:p w14:paraId="07B9020D" w14:textId="12F15003"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1.000</w:t>
            </w:r>
          </w:p>
        </w:tc>
        <w:tc>
          <w:tcPr>
            <w:tcW w:w="1363" w:type="dxa"/>
          </w:tcPr>
          <w:p w14:paraId="55F80354" w14:textId="1B195DEA"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1.000</w:t>
            </w:r>
          </w:p>
        </w:tc>
        <w:tc>
          <w:tcPr>
            <w:tcW w:w="1363" w:type="dxa"/>
          </w:tcPr>
          <w:p w14:paraId="6B6C89E0" w14:textId="1B84A037"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1.000</w:t>
            </w:r>
          </w:p>
        </w:tc>
      </w:tr>
      <w:tr w:rsidR="001A562F" w14:paraId="7677EFAA" w14:textId="3DF24917"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4DBE4934" w14:textId="71B1F107" w:rsidR="001A562F" w:rsidRDefault="001A562F" w:rsidP="001A562F">
            <w:r>
              <w:t xml:space="preserve">Communicatie &amp; Media – regulier én </w:t>
            </w:r>
            <w:proofErr w:type="spellStart"/>
            <w:r>
              <w:t>comm</w:t>
            </w:r>
            <w:proofErr w:type="spellEnd"/>
            <w:r>
              <w:t>. plan</w:t>
            </w:r>
          </w:p>
        </w:tc>
        <w:tc>
          <w:tcPr>
            <w:tcW w:w="1841" w:type="dxa"/>
          </w:tcPr>
          <w:p w14:paraId="180B3FB0" w14:textId="38D84276"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0</w:t>
            </w:r>
          </w:p>
        </w:tc>
        <w:tc>
          <w:tcPr>
            <w:tcW w:w="1363" w:type="dxa"/>
          </w:tcPr>
          <w:p w14:paraId="4D6B1471" w14:textId="4DD198BD"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2.000</w:t>
            </w:r>
          </w:p>
        </w:tc>
        <w:tc>
          <w:tcPr>
            <w:tcW w:w="1363" w:type="dxa"/>
          </w:tcPr>
          <w:p w14:paraId="53EBF4CC" w14:textId="60B94119"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2.000</w:t>
            </w:r>
          </w:p>
        </w:tc>
        <w:tc>
          <w:tcPr>
            <w:tcW w:w="1363" w:type="dxa"/>
          </w:tcPr>
          <w:p w14:paraId="408AF8EA" w14:textId="3FC44122"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2.000</w:t>
            </w:r>
          </w:p>
        </w:tc>
        <w:tc>
          <w:tcPr>
            <w:tcW w:w="1363" w:type="dxa"/>
          </w:tcPr>
          <w:p w14:paraId="11371C3E" w14:textId="3F6A37DA"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2.000</w:t>
            </w:r>
          </w:p>
        </w:tc>
        <w:tc>
          <w:tcPr>
            <w:tcW w:w="1363" w:type="dxa"/>
          </w:tcPr>
          <w:p w14:paraId="12EAD4CB" w14:textId="096F0DBE"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2.000</w:t>
            </w:r>
          </w:p>
        </w:tc>
      </w:tr>
      <w:tr w:rsidR="001A562F" w14:paraId="5EF2F9DF" w14:textId="55F236A1"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2DC22821" w14:textId="77777777" w:rsidR="001A562F" w:rsidRDefault="001A562F" w:rsidP="001A562F">
            <w:r>
              <w:t>Raad van Tucht/Beroep</w:t>
            </w:r>
          </w:p>
        </w:tc>
        <w:tc>
          <w:tcPr>
            <w:tcW w:w="1841" w:type="dxa"/>
          </w:tcPr>
          <w:p w14:paraId="0C8A5208" w14:textId="5B7A8B79"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0</w:t>
            </w:r>
          </w:p>
        </w:tc>
        <w:tc>
          <w:tcPr>
            <w:tcW w:w="1363" w:type="dxa"/>
          </w:tcPr>
          <w:p w14:paraId="0C7061BC" w14:textId="6397DED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500</w:t>
            </w:r>
          </w:p>
        </w:tc>
        <w:tc>
          <w:tcPr>
            <w:tcW w:w="1363" w:type="dxa"/>
          </w:tcPr>
          <w:p w14:paraId="1892BBA0" w14:textId="3AE0E75B"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500</w:t>
            </w:r>
          </w:p>
        </w:tc>
        <w:tc>
          <w:tcPr>
            <w:tcW w:w="1363" w:type="dxa"/>
          </w:tcPr>
          <w:p w14:paraId="41F0FB2F" w14:textId="471C5ABF"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500</w:t>
            </w:r>
          </w:p>
        </w:tc>
        <w:tc>
          <w:tcPr>
            <w:tcW w:w="1363" w:type="dxa"/>
          </w:tcPr>
          <w:p w14:paraId="4E306DDA" w14:textId="6D3005C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500</w:t>
            </w:r>
          </w:p>
        </w:tc>
        <w:tc>
          <w:tcPr>
            <w:tcW w:w="1363" w:type="dxa"/>
          </w:tcPr>
          <w:p w14:paraId="482691E2" w14:textId="042B64BE"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500</w:t>
            </w:r>
          </w:p>
        </w:tc>
      </w:tr>
      <w:tr w:rsidR="001A562F" w14:paraId="0FC2D19C" w14:textId="0AB76B50"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2A68D9EC" w14:textId="77777777" w:rsidR="001A562F" w:rsidRDefault="001A562F" w:rsidP="001A562F">
            <w:r>
              <w:t>Voorziening Marktregistratie EU</w:t>
            </w:r>
          </w:p>
        </w:tc>
        <w:tc>
          <w:tcPr>
            <w:tcW w:w="1841" w:type="dxa"/>
          </w:tcPr>
          <w:p w14:paraId="137CFA85" w14:textId="0EBED8DD"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330</w:t>
            </w:r>
          </w:p>
        </w:tc>
        <w:tc>
          <w:tcPr>
            <w:tcW w:w="1363" w:type="dxa"/>
          </w:tcPr>
          <w:p w14:paraId="2552A577" w14:textId="327F8613"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330</w:t>
            </w:r>
          </w:p>
        </w:tc>
        <w:tc>
          <w:tcPr>
            <w:tcW w:w="1363" w:type="dxa"/>
          </w:tcPr>
          <w:p w14:paraId="0F8D98EB" w14:textId="691403A8" w:rsidR="001A562F" w:rsidRDefault="00AA59E4" w:rsidP="001A562F">
            <w:pPr>
              <w:jc w:val="center"/>
              <w:cnfStyle w:val="000000100000" w:firstRow="0" w:lastRow="0" w:firstColumn="0" w:lastColumn="0" w:oddVBand="0" w:evenVBand="0" w:oddHBand="1" w:evenHBand="0" w:firstRowFirstColumn="0" w:firstRowLastColumn="0" w:lastRowFirstColumn="0" w:lastRowLastColumn="0"/>
            </w:pPr>
            <w:r>
              <w:t>0</w:t>
            </w:r>
          </w:p>
        </w:tc>
        <w:tc>
          <w:tcPr>
            <w:tcW w:w="1363" w:type="dxa"/>
          </w:tcPr>
          <w:p w14:paraId="5AAE9F34" w14:textId="2547D237" w:rsidR="001A562F" w:rsidRDefault="00AA59E4" w:rsidP="001A562F">
            <w:pPr>
              <w:jc w:val="center"/>
              <w:cnfStyle w:val="000000100000" w:firstRow="0" w:lastRow="0" w:firstColumn="0" w:lastColumn="0" w:oddVBand="0" w:evenVBand="0" w:oddHBand="1" w:evenHBand="0" w:firstRowFirstColumn="0" w:firstRowLastColumn="0" w:lastRowFirstColumn="0" w:lastRowLastColumn="0"/>
            </w:pPr>
            <w:r>
              <w:t>0</w:t>
            </w:r>
          </w:p>
        </w:tc>
        <w:tc>
          <w:tcPr>
            <w:tcW w:w="1363" w:type="dxa"/>
          </w:tcPr>
          <w:p w14:paraId="34B726BA" w14:textId="0846B9A9" w:rsidR="001A562F" w:rsidRDefault="00AA59E4" w:rsidP="001A562F">
            <w:pPr>
              <w:jc w:val="center"/>
              <w:cnfStyle w:val="000000100000" w:firstRow="0" w:lastRow="0" w:firstColumn="0" w:lastColumn="0" w:oddVBand="0" w:evenVBand="0" w:oddHBand="1" w:evenHBand="0" w:firstRowFirstColumn="0" w:firstRowLastColumn="0" w:lastRowFirstColumn="0" w:lastRowLastColumn="0"/>
            </w:pPr>
            <w:r>
              <w:t>0</w:t>
            </w:r>
          </w:p>
        </w:tc>
        <w:tc>
          <w:tcPr>
            <w:tcW w:w="1363" w:type="dxa"/>
          </w:tcPr>
          <w:p w14:paraId="399C983B" w14:textId="1C4D3F9F" w:rsidR="001A562F" w:rsidRDefault="00AA59E4" w:rsidP="001A562F">
            <w:pPr>
              <w:jc w:val="center"/>
              <w:cnfStyle w:val="000000100000" w:firstRow="0" w:lastRow="0" w:firstColumn="0" w:lastColumn="0" w:oddVBand="0" w:evenVBand="0" w:oddHBand="1" w:evenHBand="0" w:firstRowFirstColumn="0" w:firstRowLastColumn="0" w:lastRowFirstColumn="0" w:lastRowLastColumn="0"/>
            </w:pPr>
            <w:r>
              <w:t>0</w:t>
            </w:r>
          </w:p>
        </w:tc>
      </w:tr>
      <w:tr w:rsidR="001A562F" w14:paraId="6EF25FAB" w14:textId="4788E3CD"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3FEFF7C8" w14:textId="77777777" w:rsidR="001A562F" w:rsidRDefault="001A562F" w:rsidP="001A562F">
            <w:r>
              <w:t>Bureau/Administratie</w:t>
            </w:r>
          </w:p>
        </w:tc>
        <w:tc>
          <w:tcPr>
            <w:tcW w:w="1841" w:type="dxa"/>
          </w:tcPr>
          <w:p w14:paraId="740190A4" w14:textId="6C8712AD"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21.035</w:t>
            </w:r>
          </w:p>
        </w:tc>
        <w:tc>
          <w:tcPr>
            <w:tcW w:w="1363" w:type="dxa"/>
          </w:tcPr>
          <w:p w14:paraId="6D4E81F4" w14:textId="68AABAE5"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22.604</w:t>
            </w:r>
          </w:p>
        </w:tc>
        <w:tc>
          <w:tcPr>
            <w:tcW w:w="1363" w:type="dxa"/>
          </w:tcPr>
          <w:p w14:paraId="426A7156" w14:textId="445B2FB0"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23.250</w:t>
            </w:r>
          </w:p>
        </w:tc>
        <w:tc>
          <w:tcPr>
            <w:tcW w:w="1363" w:type="dxa"/>
          </w:tcPr>
          <w:p w14:paraId="4324CF98" w14:textId="4DA23CEB"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23.517</w:t>
            </w:r>
          </w:p>
        </w:tc>
        <w:tc>
          <w:tcPr>
            <w:tcW w:w="1363" w:type="dxa"/>
          </w:tcPr>
          <w:p w14:paraId="765B99CB" w14:textId="754B4E29"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23.620</w:t>
            </w:r>
          </w:p>
        </w:tc>
        <w:tc>
          <w:tcPr>
            <w:tcW w:w="1363" w:type="dxa"/>
          </w:tcPr>
          <w:p w14:paraId="69981D8A" w14:textId="65BF5F44"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23.750</w:t>
            </w:r>
          </w:p>
        </w:tc>
      </w:tr>
      <w:tr w:rsidR="001A562F" w14:paraId="12CB801F" w14:textId="0BB230D2"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634D21C0" w14:textId="77777777" w:rsidR="001A562F" w:rsidRDefault="001A562F" w:rsidP="001A562F">
            <w:r>
              <w:t>Ondersteuning automatisering</w:t>
            </w:r>
          </w:p>
        </w:tc>
        <w:tc>
          <w:tcPr>
            <w:tcW w:w="1841" w:type="dxa"/>
          </w:tcPr>
          <w:p w14:paraId="21149BB1" w14:textId="1A0025E3"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4.270</w:t>
            </w:r>
          </w:p>
        </w:tc>
        <w:tc>
          <w:tcPr>
            <w:tcW w:w="1363" w:type="dxa"/>
          </w:tcPr>
          <w:p w14:paraId="5CAE5D64" w14:textId="2A8D5E37"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4.775</w:t>
            </w:r>
          </w:p>
        </w:tc>
        <w:tc>
          <w:tcPr>
            <w:tcW w:w="1363" w:type="dxa"/>
          </w:tcPr>
          <w:p w14:paraId="5009F2B4" w14:textId="06C3C7E2"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4.871</w:t>
            </w:r>
          </w:p>
        </w:tc>
        <w:tc>
          <w:tcPr>
            <w:tcW w:w="1363" w:type="dxa"/>
          </w:tcPr>
          <w:p w14:paraId="17C547EF" w14:textId="51A4AF35"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4.968</w:t>
            </w:r>
          </w:p>
        </w:tc>
        <w:tc>
          <w:tcPr>
            <w:tcW w:w="1363" w:type="dxa"/>
          </w:tcPr>
          <w:p w14:paraId="1D2CE4E5" w14:textId="4B25C55B"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5.065</w:t>
            </w:r>
          </w:p>
        </w:tc>
        <w:tc>
          <w:tcPr>
            <w:tcW w:w="1363" w:type="dxa"/>
          </w:tcPr>
          <w:p w14:paraId="4E079B2A" w14:textId="4AE01CB1"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5.165</w:t>
            </w:r>
          </w:p>
        </w:tc>
      </w:tr>
      <w:tr w:rsidR="001A562F" w14:paraId="3544ED51" w14:textId="14D880EA"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23FECE8D" w14:textId="77777777" w:rsidR="001A562F" w:rsidRDefault="001A562F" w:rsidP="001A562F">
            <w:r>
              <w:t>Congres in eigen beheer</w:t>
            </w:r>
          </w:p>
        </w:tc>
        <w:tc>
          <w:tcPr>
            <w:tcW w:w="1841" w:type="dxa"/>
          </w:tcPr>
          <w:p w14:paraId="0146ADED" w14:textId="4857DB8B"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474</w:t>
            </w:r>
          </w:p>
        </w:tc>
        <w:tc>
          <w:tcPr>
            <w:tcW w:w="1363" w:type="dxa"/>
          </w:tcPr>
          <w:p w14:paraId="781C8AF2" w14:textId="196C9754"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16.000</w:t>
            </w:r>
          </w:p>
        </w:tc>
        <w:tc>
          <w:tcPr>
            <w:tcW w:w="1363" w:type="dxa"/>
          </w:tcPr>
          <w:p w14:paraId="2246905B" w14:textId="01BA7539"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16.000</w:t>
            </w:r>
          </w:p>
        </w:tc>
        <w:tc>
          <w:tcPr>
            <w:tcW w:w="1363" w:type="dxa"/>
          </w:tcPr>
          <w:p w14:paraId="77CE0C92" w14:textId="7D9F6E7B"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16.000</w:t>
            </w:r>
          </w:p>
        </w:tc>
        <w:tc>
          <w:tcPr>
            <w:tcW w:w="1363" w:type="dxa"/>
          </w:tcPr>
          <w:p w14:paraId="1F0F822A" w14:textId="09FD3173"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16.000</w:t>
            </w:r>
          </w:p>
        </w:tc>
        <w:tc>
          <w:tcPr>
            <w:tcW w:w="1363" w:type="dxa"/>
          </w:tcPr>
          <w:p w14:paraId="50D63EA3" w14:textId="5ED10D76"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16.000</w:t>
            </w:r>
          </w:p>
        </w:tc>
      </w:tr>
      <w:tr w:rsidR="001A562F" w14:paraId="64FA4A20" w14:textId="462DE4CE"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305118E3" w14:textId="77777777" w:rsidR="001A562F" w:rsidRDefault="001A562F" w:rsidP="001A562F">
            <w:r>
              <w:t>TPC in eigen beheer</w:t>
            </w:r>
          </w:p>
        </w:tc>
        <w:tc>
          <w:tcPr>
            <w:tcW w:w="1841" w:type="dxa"/>
          </w:tcPr>
          <w:p w14:paraId="32349BDA" w14:textId="3131613F"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23.516</w:t>
            </w:r>
          </w:p>
        </w:tc>
        <w:tc>
          <w:tcPr>
            <w:tcW w:w="1363" w:type="dxa"/>
          </w:tcPr>
          <w:p w14:paraId="2184A838" w14:textId="665F99A3"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33.786</w:t>
            </w:r>
          </w:p>
        </w:tc>
        <w:tc>
          <w:tcPr>
            <w:tcW w:w="1363" w:type="dxa"/>
          </w:tcPr>
          <w:p w14:paraId="4DE5CAAD" w14:textId="209463CE"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33.786</w:t>
            </w:r>
          </w:p>
        </w:tc>
        <w:tc>
          <w:tcPr>
            <w:tcW w:w="1363" w:type="dxa"/>
          </w:tcPr>
          <w:p w14:paraId="4957F36C" w14:textId="7402E7C3"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33.786</w:t>
            </w:r>
          </w:p>
        </w:tc>
        <w:tc>
          <w:tcPr>
            <w:tcW w:w="1363" w:type="dxa"/>
          </w:tcPr>
          <w:p w14:paraId="1AA78AE8" w14:textId="4E9FAEEB"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33.786</w:t>
            </w:r>
          </w:p>
        </w:tc>
        <w:tc>
          <w:tcPr>
            <w:tcW w:w="1363" w:type="dxa"/>
          </w:tcPr>
          <w:p w14:paraId="69AF9AC2" w14:textId="29F778D2"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33.786</w:t>
            </w:r>
          </w:p>
        </w:tc>
      </w:tr>
      <w:tr w:rsidR="001A562F" w14:paraId="1DE78885" w14:textId="10D10236"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70FAA7AE" w14:textId="77777777" w:rsidR="001A562F" w:rsidRDefault="001A562F" w:rsidP="001A562F">
            <w:r>
              <w:t>Verzekering en Bankkosten</w:t>
            </w:r>
          </w:p>
        </w:tc>
        <w:tc>
          <w:tcPr>
            <w:tcW w:w="1841" w:type="dxa"/>
          </w:tcPr>
          <w:p w14:paraId="5AFFBA4A" w14:textId="459F5D4A"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632</w:t>
            </w:r>
          </w:p>
        </w:tc>
        <w:tc>
          <w:tcPr>
            <w:tcW w:w="1363" w:type="dxa"/>
          </w:tcPr>
          <w:p w14:paraId="2D21C4F2" w14:textId="03112295"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673</w:t>
            </w:r>
          </w:p>
        </w:tc>
        <w:tc>
          <w:tcPr>
            <w:tcW w:w="1363" w:type="dxa"/>
          </w:tcPr>
          <w:p w14:paraId="3D4EAF35" w14:textId="43685E88"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686</w:t>
            </w:r>
          </w:p>
        </w:tc>
        <w:tc>
          <w:tcPr>
            <w:tcW w:w="1363" w:type="dxa"/>
          </w:tcPr>
          <w:p w14:paraId="176383B0" w14:textId="15FF6E4A"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700</w:t>
            </w:r>
          </w:p>
        </w:tc>
        <w:tc>
          <w:tcPr>
            <w:tcW w:w="1363" w:type="dxa"/>
          </w:tcPr>
          <w:p w14:paraId="1CBE8ACC" w14:textId="0336C010"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r>
              <w:t>714</w:t>
            </w:r>
          </w:p>
        </w:tc>
        <w:tc>
          <w:tcPr>
            <w:tcW w:w="1363" w:type="dxa"/>
          </w:tcPr>
          <w:p w14:paraId="3D4E7D27" w14:textId="2A6A1891" w:rsidR="001A562F" w:rsidRDefault="004023F1" w:rsidP="001A562F">
            <w:pPr>
              <w:jc w:val="center"/>
              <w:cnfStyle w:val="000000010000" w:firstRow="0" w:lastRow="0" w:firstColumn="0" w:lastColumn="0" w:oddVBand="0" w:evenVBand="0" w:oddHBand="0" w:evenHBand="1" w:firstRowFirstColumn="0" w:firstRowLastColumn="0" w:lastRowFirstColumn="0" w:lastRowLastColumn="0"/>
            </w:pPr>
            <w:r>
              <w:t>730</w:t>
            </w:r>
          </w:p>
        </w:tc>
      </w:tr>
      <w:tr w:rsidR="001A562F" w14:paraId="3E6F9635" w14:textId="0724091A"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566D23F1" w14:textId="77777777" w:rsidR="001A562F" w:rsidRDefault="001A562F" w:rsidP="001A562F">
            <w:r>
              <w:t>TOTAAL LASTEN</w:t>
            </w:r>
          </w:p>
        </w:tc>
        <w:tc>
          <w:tcPr>
            <w:tcW w:w="1841" w:type="dxa"/>
          </w:tcPr>
          <w:p w14:paraId="3408B549" w14:textId="51337B6B"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50.503</w:t>
            </w:r>
          </w:p>
        </w:tc>
        <w:tc>
          <w:tcPr>
            <w:tcW w:w="1363" w:type="dxa"/>
          </w:tcPr>
          <w:p w14:paraId="5BA95746" w14:textId="5F5FD98C"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83.1</w:t>
            </w:r>
            <w:r>
              <w:t>68</w:t>
            </w:r>
          </w:p>
        </w:tc>
        <w:tc>
          <w:tcPr>
            <w:tcW w:w="1363" w:type="dxa"/>
          </w:tcPr>
          <w:p w14:paraId="5250352D" w14:textId="4373411D"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w:t>
            </w:r>
            <w:r w:rsidR="00E37ADC">
              <w:t>3</w:t>
            </w:r>
            <w:r w:rsidRPr="008F22C5">
              <w:t>.</w:t>
            </w:r>
            <w:r w:rsidR="00E37ADC">
              <w:t>5</w:t>
            </w:r>
            <w:r w:rsidR="0003632D">
              <w:t>93</w:t>
            </w:r>
          </w:p>
        </w:tc>
        <w:tc>
          <w:tcPr>
            <w:tcW w:w="1363" w:type="dxa"/>
          </w:tcPr>
          <w:p w14:paraId="56D417DC" w14:textId="365D05CD"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rsidRPr="008F22C5">
              <w:t>8</w:t>
            </w:r>
            <w:r w:rsidR="00E37ADC">
              <w:t>3</w:t>
            </w:r>
            <w:r w:rsidRPr="008F22C5">
              <w:t>.</w:t>
            </w:r>
            <w:r w:rsidR="00E37ADC">
              <w:t>971</w:t>
            </w:r>
          </w:p>
        </w:tc>
        <w:tc>
          <w:tcPr>
            <w:tcW w:w="1363" w:type="dxa"/>
          </w:tcPr>
          <w:p w14:paraId="19F492E6" w14:textId="7DD46BB4" w:rsidR="001A562F" w:rsidRDefault="001A562F" w:rsidP="001A562F">
            <w:pPr>
              <w:jc w:val="center"/>
              <w:cnfStyle w:val="000000100000" w:firstRow="0" w:lastRow="0" w:firstColumn="0" w:lastColumn="0" w:oddVBand="0" w:evenVBand="0" w:oddHBand="1" w:evenHBand="0" w:firstRowFirstColumn="0" w:firstRowLastColumn="0" w:lastRowFirstColumn="0" w:lastRowLastColumn="0"/>
            </w:pPr>
            <w:r>
              <w:t>84.</w:t>
            </w:r>
            <w:r w:rsidR="00E37ADC">
              <w:t>185</w:t>
            </w:r>
          </w:p>
        </w:tc>
        <w:tc>
          <w:tcPr>
            <w:tcW w:w="1363" w:type="dxa"/>
          </w:tcPr>
          <w:p w14:paraId="0C7DEC50" w14:textId="254533B7"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84.431</w:t>
            </w:r>
          </w:p>
        </w:tc>
      </w:tr>
      <w:tr w:rsidR="001A562F" w14:paraId="78CB66B6" w14:textId="55DF5F93" w:rsidTr="005D1B7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59E25049" w14:textId="77777777" w:rsidR="001A562F" w:rsidRDefault="001A562F" w:rsidP="001A562F"/>
        </w:tc>
        <w:tc>
          <w:tcPr>
            <w:tcW w:w="1841" w:type="dxa"/>
          </w:tcPr>
          <w:p w14:paraId="5A2EE2F9"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4F55D69E" w14:textId="77777777"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3CA63A91" w14:textId="77777777"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348C4D09" w14:textId="77777777" w:rsidR="001A562F" w:rsidRPr="008F22C5"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5CEFC838"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c>
          <w:tcPr>
            <w:tcW w:w="1363" w:type="dxa"/>
          </w:tcPr>
          <w:p w14:paraId="7562722D" w14:textId="77777777" w:rsidR="001A562F" w:rsidRDefault="001A562F" w:rsidP="001A562F">
            <w:pPr>
              <w:jc w:val="center"/>
              <w:cnfStyle w:val="000000010000" w:firstRow="0" w:lastRow="0" w:firstColumn="0" w:lastColumn="0" w:oddVBand="0" w:evenVBand="0" w:oddHBand="0" w:evenHBand="1" w:firstRowFirstColumn="0" w:firstRowLastColumn="0" w:lastRowFirstColumn="0" w:lastRowLastColumn="0"/>
            </w:pPr>
          </w:p>
        </w:tc>
      </w:tr>
      <w:tr w:rsidR="001A562F" w14:paraId="37641A9B" w14:textId="5CC31824" w:rsidTr="005D1B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6" w:type="dxa"/>
          </w:tcPr>
          <w:p w14:paraId="2E305751" w14:textId="77777777" w:rsidR="001A562F" w:rsidRDefault="001A562F" w:rsidP="001A562F">
            <w:r>
              <w:t>RESULTAAT</w:t>
            </w:r>
          </w:p>
        </w:tc>
        <w:tc>
          <w:tcPr>
            <w:tcW w:w="1841" w:type="dxa"/>
          </w:tcPr>
          <w:p w14:paraId="0F929A5E" w14:textId="4F5BA4E8" w:rsidR="001A562F" w:rsidRDefault="004023F1" w:rsidP="001A562F">
            <w:pPr>
              <w:jc w:val="center"/>
              <w:cnfStyle w:val="000000100000" w:firstRow="0" w:lastRow="0" w:firstColumn="0" w:lastColumn="0" w:oddVBand="0" w:evenVBand="0" w:oddHBand="1" w:evenHBand="0" w:firstRowFirstColumn="0" w:firstRowLastColumn="0" w:lastRowFirstColumn="0" w:lastRowLastColumn="0"/>
            </w:pPr>
            <w:r>
              <w:t>15.212</w:t>
            </w:r>
          </w:p>
        </w:tc>
        <w:tc>
          <w:tcPr>
            <w:tcW w:w="1363" w:type="dxa"/>
          </w:tcPr>
          <w:p w14:paraId="37FE78DE" w14:textId="5EB9CDDA"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t>2</w:t>
            </w:r>
            <w:r w:rsidRPr="008F22C5">
              <w:t>.0</w:t>
            </w:r>
            <w:r>
              <w:t>1</w:t>
            </w:r>
            <w:r w:rsidRPr="008F22C5">
              <w:t>2</w:t>
            </w:r>
          </w:p>
        </w:tc>
        <w:tc>
          <w:tcPr>
            <w:tcW w:w="1363" w:type="dxa"/>
          </w:tcPr>
          <w:p w14:paraId="362905B0" w14:textId="3823E878" w:rsidR="001A562F" w:rsidRPr="008F22C5" w:rsidRDefault="001A562F" w:rsidP="001A562F">
            <w:pPr>
              <w:jc w:val="center"/>
              <w:cnfStyle w:val="000000100000" w:firstRow="0" w:lastRow="0" w:firstColumn="0" w:lastColumn="0" w:oddVBand="0" w:evenVBand="0" w:oddHBand="1" w:evenHBand="0" w:firstRowFirstColumn="0" w:firstRowLastColumn="0" w:lastRowFirstColumn="0" w:lastRowLastColumn="0"/>
            </w:pPr>
            <w:r>
              <w:t>1</w:t>
            </w:r>
            <w:r w:rsidRPr="008F22C5">
              <w:t>.</w:t>
            </w:r>
            <w:r w:rsidR="0003632D">
              <w:t>587</w:t>
            </w:r>
          </w:p>
        </w:tc>
        <w:tc>
          <w:tcPr>
            <w:tcW w:w="1363" w:type="dxa"/>
          </w:tcPr>
          <w:p w14:paraId="53CD2B5A" w14:textId="1FA40790" w:rsidR="001A562F" w:rsidRPr="008F22C5" w:rsidRDefault="00E37ADC" w:rsidP="001A562F">
            <w:pPr>
              <w:jc w:val="center"/>
              <w:cnfStyle w:val="000000100000" w:firstRow="0" w:lastRow="0" w:firstColumn="0" w:lastColumn="0" w:oddVBand="0" w:evenVBand="0" w:oddHBand="1" w:evenHBand="0" w:firstRowFirstColumn="0" w:firstRowLastColumn="0" w:lastRowFirstColumn="0" w:lastRowLastColumn="0"/>
            </w:pPr>
            <w:r>
              <w:t>1.209</w:t>
            </w:r>
          </w:p>
        </w:tc>
        <w:tc>
          <w:tcPr>
            <w:tcW w:w="1363" w:type="dxa"/>
          </w:tcPr>
          <w:p w14:paraId="5363A2C9" w14:textId="2FB7F39D" w:rsidR="001A562F" w:rsidRPr="00010410" w:rsidRDefault="00E37ADC" w:rsidP="001A562F">
            <w:pPr>
              <w:jc w:val="center"/>
              <w:cnfStyle w:val="000000100000" w:firstRow="0" w:lastRow="0" w:firstColumn="0" w:lastColumn="0" w:oddVBand="0" w:evenVBand="0" w:oddHBand="1" w:evenHBand="0" w:firstRowFirstColumn="0" w:firstRowLastColumn="0" w:lastRowFirstColumn="0" w:lastRowLastColumn="0"/>
              <w:rPr>
                <w:color w:val="FF0000"/>
              </w:rPr>
            </w:pPr>
            <w:r>
              <w:t>99</w:t>
            </w:r>
            <w:r w:rsidR="001A562F">
              <w:t>5</w:t>
            </w:r>
          </w:p>
        </w:tc>
        <w:tc>
          <w:tcPr>
            <w:tcW w:w="1363" w:type="dxa"/>
          </w:tcPr>
          <w:p w14:paraId="4381F738" w14:textId="00003237" w:rsidR="001A562F" w:rsidRDefault="00E37ADC" w:rsidP="001A562F">
            <w:pPr>
              <w:jc w:val="center"/>
              <w:cnfStyle w:val="000000100000" w:firstRow="0" w:lastRow="0" w:firstColumn="0" w:lastColumn="0" w:oddVBand="0" w:evenVBand="0" w:oddHBand="1" w:evenHBand="0" w:firstRowFirstColumn="0" w:firstRowLastColumn="0" w:lastRowFirstColumn="0" w:lastRowLastColumn="0"/>
            </w:pPr>
            <w:r>
              <w:t>749</w:t>
            </w:r>
          </w:p>
        </w:tc>
      </w:tr>
    </w:tbl>
    <w:p w14:paraId="165D888C" w14:textId="77777777" w:rsidR="00D63770" w:rsidRDefault="00D63770">
      <w:pPr>
        <w:rPr>
          <w:b/>
          <w:bCs/>
        </w:rPr>
      </w:pPr>
    </w:p>
    <w:p w14:paraId="6C6E7B8E" w14:textId="77777777" w:rsidR="005C0092" w:rsidRDefault="005C0092">
      <w:pPr>
        <w:rPr>
          <w:b/>
        </w:rPr>
      </w:pPr>
      <w:r>
        <w:rPr>
          <w:b/>
        </w:rPr>
        <w:br w:type="page"/>
      </w:r>
    </w:p>
    <w:p w14:paraId="4BF11926" w14:textId="43248E28" w:rsidR="00E670AD" w:rsidRPr="00E670AD" w:rsidRDefault="00E670AD" w:rsidP="00D63770">
      <w:pPr>
        <w:spacing w:after="0" w:line="240" w:lineRule="auto"/>
        <w:rPr>
          <w:b/>
        </w:rPr>
      </w:pPr>
      <w:r w:rsidRPr="00E670AD">
        <w:rPr>
          <w:b/>
        </w:rPr>
        <w:lastRenderedPageBreak/>
        <w:t>Baten</w:t>
      </w:r>
    </w:p>
    <w:p w14:paraId="0E742B37" w14:textId="54335F1E" w:rsidR="00D63770" w:rsidRDefault="00D63770" w:rsidP="00D63770">
      <w:pPr>
        <w:spacing w:after="0" w:line="240" w:lineRule="auto"/>
        <w:rPr>
          <w:bCs/>
          <w:u w:val="single"/>
        </w:rPr>
      </w:pPr>
      <w:r w:rsidRPr="009222E0">
        <w:rPr>
          <w:bCs/>
          <w:u w:val="single"/>
        </w:rPr>
        <w:t>Lidmaatschappen</w:t>
      </w:r>
      <w:r w:rsidR="005C0092">
        <w:rPr>
          <w:rStyle w:val="Voetnootmarkering"/>
          <w:bCs/>
          <w:u w:val="single"/>
        </w:rPr>
        <w:footnoteReference w:id="1"/>
      </w:r>
    </w:p>
    <w:p w14:paraId="3F830988" w14:textId="309392BE" w:rsidR="00D63770" w:rsidRDefault="00AA59E4" w:rsidP="009222E0">
      <w:pPr>
        <w:spacing w:after="0" w:line="240" w:lineRule="auto"/>
        <w:rPr>
          <w:bCs/>
        </w:rPr>
      </w:pPr>
      <w:r>
        <w:rPr>
          <w:bCs/>
        </w:rPr>
        <w:t xml:space="preserve">Gegeven de vermogenspositie van EICPC is voor 2023 geen verhoging van contributie om lid van EICPC te zijn nodig. </w:t>
      </w:r>
      <w:r w:rsidR="00D63770">
        <w:rPr>
          <w:bCs/>
        </w:rPr>
        <w:t xml:space="preserve">De lidmaatschappen zijn ontvlecht in een deel “lidmaatschap = bijdrage aan de vereniging” en “lidmaatschap = abonnement TPC”.  Deze laatste bijdrage ad. </w:t>
      </w:r>
      <w:r w:rsidR="00D63770" w:rsidRPr="008F22C5">
        <w:rPr>
          <w:bCs/>
        </w:rPr>
        <w:t>€ 7</w:t>
      </w:r>
      <w:r w:rsidR="00927250" w:rsidRPr="008F22C5">
        <w:rPr>
          <w:bCs/>
        </w:rPr>
        <w:t>5</w:t>
      </w:r>
      <w:r w:rsidR="00D63770" w:rsidRPr="008F22C5">
        <w:rPr>
          <w:bCs/>
        </w:rPr>
        <w:t>,</w:t>
      </w:r>
      <w:r w:rsidR="00927250" w:rsidRPr="008F22C5">
        <w:rPr>
          <w:bCs/>
        </w:rPr>
        <w:t>32</w:t>
      </w:r>
      <w:r w:rsidR="00D63770" w:rsidRPr="00927250">
        <w:rPr>
          <w:bCs/>
        </w:rPr>
        <w:t xml:space="preserve"> per abonnement is uit het lidmaatschap gehaald en </w:t>
      </w:r>
      <w:r w:rsidR="009222E0" w:rsidRPr="00927250">
        <w:rPr>
          <w:bCs/>
        </w:rPr>
        <w:t xml:space="preserve">overgeheveld naar </w:t>
      </w:r>
      <w:r w:rsidR="00D63770" w:rsidRPr="00927250">
        <w:rPr>
          <w:bCs/>
        </w:rPr>
        <w:t>“TPC in eigen beheer”.</w:t>
      </w:r>
      <w:r w:rsidR="00EB4353" w:rsidRPr="00927250">
        <w:rPr>
          <w:bCs/>
        </w:rPr>
        <w:t xml:space="preserve"> </w:t>
      </w:r>
      <w:r w:rsidR="00927250" w:rsidRPr="00927250">
        <w:rPr>
          <w:bCs/>
        </w:rPr>
        <w:t>In de begroting is rekening gehouden met: CP</w:t>
      </w:r>
      <w:r w:rsidR="00927250" w:rsidRPr="00927250">
        <w:t>C-leden</w:t>
      </w:r>
      <w:r w:rsidR="00927250" w:rsidRPr="005529E1">
        <w:t xml:space="preserve"> </w:t>
      </w:r>
      <w:r w:rsidR="00927250" w:rsidRPr="002027A3">
        <w:t>(2</w:t>
      </w:r>
      <w:r w:rsidR="000716D5">
        <w:t>61</w:t>
      </w:r>
      <w:r w:rsidR="00927250" w:rsidRPr="002027A3">
        <w:t>),</w:t>
      </w:r>
      <w:r w:rsidR="00927250" w:rsidRPr="005529E1">
        <w:t xml:space="preserve"> aspirant </w:t>
      </w:r>
      <w:r w:rsidR="00927250" w:rsidRPr="002027A3">
        <w:t>leden (</w:t>
      </w:r>
      <w:r w:rsidR="000716D5">
        <w:t>36</w:t>
      </w:r>
      <w:r w:rsidR="00927250" w:rsidRPr="002027A3">
        <w:t>)</w:t>
      </w:r>
      <w:r w:rsidR="00927250" w:rsidRPr="005529E1">
        <w:t xml:space="preserve"> en geassocieerde </w:t>
      </w:r>
      <w:r w:rsidR="00927250" w:rsidRPr="002027A3">
        <w:t>leden (</w:t>
      </w:r>
      <w:r w:rsidR="000716D5">
        <w:t>113, waarvan 65 geassocieerd vanwege abonnement TPC</w:t>
      </w:r>
      <w:r w:rsidR="00927250" w:rsidRPr="002027A3">
        <w:t>)</w:t>
      </w:r>
      <w:r w:rsidR="00927250">
        <w:t xml:space="preserve">. </w:t>
      </w:r>
    </w:p>
    <w:p w14:paraId="70AFDA66" w14:textId="77777777" w:rsidR="000716D5" w:rsidRDefault="000716D5" w:rsidP="009222E0">
      <w:pPr>
        <w:spacing w:after="0" w:line="240" w:lineRule="auto"/>
        <w:rPr>
          <w:bCs/>
          <w:u w:val="single"/>
        </w:rPr>
      </w:pPr>
    </w:p>
    <w:p w14:paraId="2F3EC042" w14:textId="583E7F8B" w:rsidR="00EB4353" w:rsidRPr="00EB4353" w:rsidRDefault="00EB4353" w:rsidP="009222E0">
      <w:pPr>
        <w:spacing w:after="0" w:line="240" w:lineRule="auto"/>
        <w:rPr>
          <w:bCs/>
          <w:u w:val="single"/>
        </w:rPr>
      </w:pPr>
      <w:r w:rsidRPr="00EB4353">
        <w:rPr>
          <w:bCs/>
          <w:u w:val="single"/>
        </w:rPr>
        <w:t>Congres in Eigen Beheer</w:t>
      </w:r>
    </w:p>
    <w:p w14:paraId="486C2913" w14:textId="3A232BD7" w:rsidR="00EB4353" w:rsidRDefault="00927250" w:rsidP="009222E0">
      <w:pPr>
        <w:spacing w:after="0" w:line="240" w:lineRule="auto"/>
        <w:rPr>
          <w:bCs/>
        </w:rPr>
      </w:pPr>
      <w:r>
        <w:rPr>
          <w:bCs/>
        </w:rPr>
        <w:t xml:space="preserve">De </w:t>
      </w:r>
      <w:r w:rsidR="00186C88">
        <w:rPr>
          <w:bCs/>
        </w:rPr>
        <w:t xml:space="preserve">baten </w:t>
      </w:r>
      <w:r>
        <w:rPr>
          <w:bCs/>
        </w:rPr>
        <w:t>voor het Congres worden via een aparte begroting verantwoord door de Congrescommissie. Uitgangspunt is dat de kosten gedekt worden uit de ontvangen bijdragen voor deelname en sponsoring</w:t>
      </w:r>
      <w:r w:rsidR="00186C88">
        <w:rPr>
          <w:bCs/>
        </w:rPr>
        <w:t xml:space="preserve"> (per saldo is het congres budgettair neutraal in de EICPC-begroting opgenomen)</w:t>
      </w:r>
      <w:r>
        <w:rPr>
          <w:bCs/>
        </w:rPr>
        <w:t>.</w:t>
      </w:r>
    </w:p>
    <w:p w14:paraId="2DE6C189" w14:textId="77777777" w:rsidR="00927250" w:rsidRDefault="00927250" w:rsidP="009222E0">
      <w:pPr>
        <w:spacing w:after="0" w:line="240" w:lineRule="auto"/>
        <w:rPr>
          <w:bCs/>
        </w:rPr>
      </w:pPr>
    </w:p>
    <w:p w14:paraId="1157D2C3" w14:textId="346FFFD3" w:rsidR="00EB4353" w:rsidRPr="00EB4353" w:rsidRDefault="00EB4353" w:rsidP="009222E0">
      <w:pPr>
        <w:spacing w:after="0" w:line="240" w:lineRule="auto"/>
        <w:rPr>
          <w:bCs/>
          <w:u w:val="single"/>
        </w:rPr>
      </w:pPr>
      <w:r w:rsidRPr="00EB4353">
        <w:rPr>
          <w:bCs/>
          <w:u w:val="single"/>
        </w:rPr>
        <w:t>TPC in Eigen Beheer</w:t>
      </w:r>
    </w:p>
    <w:p w14:paraId="2C1C328E" w14:textId="2631EE4A" w:rsidR="00EB4353" w:rsidRPr="00E03191" w:rsidRDefault="00927250" w:rsidP="00D63770">
      <w:pPr>
        <w:spacing w:after="0" w:line="240" w:lineRule="auto"/>
        <w:rPr>
          <w:bCs/>
        </w:rPr>
      </w:pPr>
      <w:r w:rsidRPr="00E03191">
        <w:rPr>
          <w:bCs/>
        </w:rPr>
        <w:t xml:space="preserve">De opbrengsten voor het uitgeven van TPC in Eigen Beheer kunnen als volgt worden toegerekend: </w:t>
      </w:r>
    </w:p>
    <w:p w14:paraId="47CA4A75" w14:textId="61DCE91A" w:rsidR="00EB4353" w:rsidRPr="00E03191" w:rsidRDefault="00EB4353" w:rsidP="00EB4353">
      <w:pPr>
        <w:pStyle w:val="Lijstalinea"/>
        <w:numPr>
          <w:ilvl w:val="0"/>
          <w:numId w:val="3"/>
        </w:numPr>
        <w:tabs>
          <w:tab w:val="left" w:pos="6270"/>
        </w:tabs>
        <w:spacing w:after="0"/>
        <w:rPr>
          <w:u w:val="single"/>
        </w:rPr>
      </w:pPr>
      <w:r w:rsidRPr="00E03191">
        <w:rPr>
          <w:u w:val="single"/>
        </w:rPr>
        <w:t xml:space="preserve">CPC-leden, aspirant leden en geassocieerde leden: </w:t>
      </w:r>
      <w:r w:rsidRPr="00E03191">
        <w:t>De in de begroting opgenomen CPC-leden (2</w:t>
      </w:r>
      <w:r w:rsidR="00E03191" w:rsidRPr="00E03191">
        <w:t>61</w:t>
      </w:r>
      <w:r w:rsidRPr="00E03191">
        <w:t>), aspirant leden (</w:t>
      </w:r>
      <w:r w:rsidR="00E03191" w:rsidRPr="00E03191">
        <w:t>36</w:t>
      </w:r>
      <w:r w:rsidRPr="00E03191">
        <w:t>) en geassocieerde leden (</w:t>
      </w:r>
      <w:r w:rsidR="00E03191" w:rsidRPr="00E03191">
        <w:t>48</w:t>
      </w:r>
      <w:r w:rsidRPr="00E03191">
        <w:t>) zijn voor het deel abonnement ad. € 75,32 toegerekend aan baten TPC in eigen beheer.</w:t>
      </w:r>
    </w:p>
    <w:p w14:paraId="654F9FE6" w14:textId="6BBF7C27" w:rsidR="00EB4353" w:rsidRPr="00E03191" w:rsidRDefault="00EB4353" w:rsidP="00EB4353">
      <w:pPr>
        <w:pStyle w:val="Lijstalinea"/>
        <w:numPr>
          <w:ilvl w:val="0"/>
          <w:numId w:val="3"/>
        </w:numPr>
        <w:tabs>
          <w:tab w:val="left" w:pos="6270"/>
        </w:tabs>
        <w:spacing w:after="0"/>
        <w:rPr>
          <w:u w:val="single"/>
        </w:rPr>
      </w:pPr>
      <w:r w:rsidRPr="00E03191">
        <w:rPr>
          <w:u w:val="single"/>
        </w:rPr>
        <w:t xml:space="preserve">Geassocieerde </w:t>
      </w:r>
      <w:r w:rsidR="00915956" w:rsidRPr="00E03191">
        <w:rPr>
          <w:u w:val="single"/>
        </w:rPr>
        <w:t>leden overgekomen</w:t>
      </w:r>
      <w:r w:rsidRPr="00E03191">
        <w:rPr>
          <w:u w:val="single"/>
        </w:rPr>
        <w:t xml:space="preserve"> van SDU: </w:t>
      </w:r>
      <w:r w:rsidR="00E03191" w:rsidRPr="00E03191">
        <w:rPr>
          <w:u w:val="single"/>
        </w:rPr>
        <w:t>V</w:t>
      </w:r>
      <w:r w:rsidRPr="00E03191">
        <w:t xml:space="preserve">oormalige abonnees van TPC </w:t>
      </w:r>
      <w:r w:rsidR="00E03191" w:rsidRPr="00E03191">
        <w:t xml:space="preserve">is </w:t>
      </w:r>
      <w:r w:rsidRPr="00E03191">
        <w:t>een geassocieerd lidmaatschap aan</w:t>
      </w:r>
      <w:r w:rsidR="00E03191" w:rsidRPr="00E03191">
        <w:t>geboden</w:t>
      </w:r>
      <w:r w:rsidRPr="00E03191">
        <w:t>. D</w:t>
      </w:r>
      <w:r w:rsidR="00E03191" w:rsidRPr="00E03191">
        <w:t xml:space="preserve">aarvan hebben 65 </w:t>
      </w:r>
      <w:r w:rsidRPr="00E03191">
        <w:t xml:space="preserve">abonnees gebruik </w:t>
      </w:r>
      <w:r w:rsidR="00E03191" w:rsidRPr="00E03191">
        <w:t>gemaakt</w:t>
      </w:r>
      <w:r w:rsidRPr="00E03191">
        <w:t xml:space="preserve">. </w:t>
      </w:r>
      <w:r w:rsidR="00E03191" w:rsidRPr="00E03191">
        <w:t xml:space="preserve">De volledige ontvangst wordt toegerekend aan TPC in Eigen Beheer. </w:t>
      </w:r>
      <w:r w:rsidRPr="00E03191">
        <w:t>Voor 202</w:t>
      </w:r>
      <w:r w:rsidR="00AA59E4">
        <w:t>3</w:t>
      </w:r>
      <w:r w:rsidR="00E03191" w:rsidRPr="00E03191">
        <w:t xml:space="preserve"> is </w:t>
      </w:r>
      <w:r w:rsidR="00AA59E4">
        <w:t xml:space="preserve">nog </w:t>
      </w:r>
      <w:r w:rsidRPr="00E03191">
        <w:t xml:space="preserve">geen rekening gehouden met </w:t>
      </w:r>
      <w:r w:rsidR="00AA59E4">
        <w:t xml:space="preserve">verdere </w:t>
      </w:r>
      <w:r w:rsidRPr="00E03191">
        <w:t>groei</w:t>
      </w:r>
      <w:r w:rsidR="00AA59E4">
        <w:t>.</w:t>
      </w:r>
      <w:r w:rsidRPr="00E03191">
        <w:t xml:space="preserve"> </w:t>
      </w:r>
    </w:p>
    <w:p w14:paraId="417083C8" w14:textId="2361952A" w:rsidR="00EB4353" w:rsidRPr="00EE48B1" w:rsidRDefault="00EB4353" w:rsidP="00EB4353">
      <w:pPr>
        <w:pStyle w:val="Lijstalinea"/>
        <w:numPr>
          <w:ilvl w:val="0"/>
          <w:numId w:val="3"/>
        </w:numPr>
        <w:tabs>
          <w:tab w:val="left" w:pos="6270"/>
        </w:tabs>
        <w:spacing w:after="0"/>
      </w:pPr>
      <w:r w:rsidRPr="00EE48B1">
        <w:rPr>
          <w:u w:val="single"/>
        </w:rPr>
        <w:t xml:space="preserve">Sponsoring: </w:t>
      </w:r>
      <w:r w:rsidRPr="00EE48B1">
        <w:t xml:space="preserve">Via </w:t>
      </w:r>
      <w:r w:rsidR="0003456B" w:rsidRPr="00EE48B1">
        <w:t>de TPC</w:t>
      </w:r>
      <w:r w:rsidRPr="00EE48B1">
        <w:t xml:space="preserve"> kanalen </w:t>
      </w:r>
      <w:r w:rsidR="00B6476E" w:rsidRPr="00EE48B1">
        <w:t xml:space="preserve">(met name de redactie van TPC) </w:t>
      </w:r>
      <w:r w:rsidRPr="00EE48B1">
        <w:t xml:space="preserve">wordt de mogelijkheid geboden TPC nieuw te sponsoren (incl. reclame </w:t>
      </w:r>
      <w:r w:rsidR="00E03191" w:rsidRPr="00EE48B1">
        <w:t xml:space="preserve">resp. advertentie </w:t>
      </w:r>
      <w:r w:rsidRPr="00EE48B1">
        <w:t xml:space="preserve">uitingen voor sponsors). </w:t>
      </w:r>
      <w:r w:rsidR="004023F1" w:rsidRPr="00EE48B1">
        <w:t xml:space="preserve">In 2021 is een advertentie geplaatst, maar hiermee is geen trend gezet. </w:t>
      </w:r>
      <w:r w:rsidRPr="00EE48B1">
        <w:t>Voor 202</w:t>
      </w:r>
      <w:r w:rsidR="004023F1" w:rsidRPr="00EE48B1">
        <w:t>3</w:t>
      </w:r>
      <w:r w:rsidRPr="00EE48B1">
        <w:t xml:space="preserve"> wordt geen rekening gehouden met sponsoring. </w:t>
      </w:r>
    </w:p>
    <w:p w14:paraId="482BA9A2" w14:textId="77777777" w:rsidR="00EB4353" w:rsidRDefault="00EB4353" w:rsidP="00D63770">
      <w:pPr>
        <w:spacing w:after="0" w:line="240" w:lineRule="auto"/>
        <w:rPr>
          <w:b/>
        </w:rPr>
      </w:pPr>
    </w:p>
    <w:p w14:paraId="6C6DE4F4" w14:textId="50CC497A" w:rsidR="00E670AD" w:rsidRPr="00C74691" w:rsidRDefault="00E670AD" w:rsidP="00D63770">
      <w:pPr>
        <w:spacing w:after="0" w:line="240" w:lineRule="auto"/>
        <w:rPr>
          <w:b/>
        </w:rPr>
      </w:pPr>
      <w:r w:rsidRPr="00C74691">
        <w:rPr>
          <w:b/>
        </w:rPr>
        <w:t>Lasten</w:t>
      </w:r>
    </w:p>
    <w:p w14:paraId="27EB9422" w14:textId="77777777" w:rsidR="00C74691" w:rsidRPr="00C74691" w:rsidRDefault="00C74691" w:rsidP="00C74691">
      <w:pPr>
        <w:spacing w:after="0"/>
        <w:rPr>
          <w:u w:val="single"/>
        </w:rPr>
      </w:pPr>
      <w:r w:rsidRPr="00C74691">
        <w:rPr>
          <w:u w:val="single"/>
        </w:rPr>
        <w:t>Algemeen</w:t>
      </w:r>
    </w:p>
    <w:p w14:paraId="3FD6A102" w14:textId="0B0BA641" w:rsidR="00C74691" w:rsidRDefault="00C74691" w:rsidP="00C74691">
      <w:pPr>
        <w:spacing w:after="0" w:line="240" w:lineRule="auto"/>
        <w:rPr>
          <w:bCs/>
          <w:u w:val="single"/>
        </w:rPr>
      </w:pPr>
      <w:r>
        <w:t>Er is in deze meerjarenbegroting voor de grotere posten ( MOS, automatisering</w:t>
      </w:r>
      <w:r w:rsidR="00A30DB4">
        <w:t xml:space="preserve"> en verzekering</w:t>
      </w:r>
      <w:r>
        <w:t xml:space="preserve">)  gewerkt met een </w:t>
      </w:r>
      <w:r w:rsidR="00CB7908">
        <w:t xml:space="preserve">(beperkte) </w:t>
      </w:r>
      <w:r>
        <w:t>reële kostenstijging per jaar.</w:t>
      </w:r>
      <w:r w:rsidR="00186C88">
        <w:t xml:space="preserve"> Dit geldt niet voor de onderdelen Congres en TPC, aangezien inkomsten en uitgaven in evenwicht zijn (= budgettair neutraal)</w:t>
      </w:r>
    </w:p>
    <w:p w14:paraId="2AAB2BAA" w14:textId="77777777" w:rsidR="00C74691" w:rsidRDefault="00C74691" w:rsidP="00D63770">
      <w:pPr>
        <w:spacing w:after="0" w:line="240" w:lineRule="auto"/>
        <w:rPr>
          <w:bCs/>
          <w:u w:val="single"/>
        </w:rPr>
      </w:pPr>
    </w:p>
    <w:p w14:paraId="1941700B" w14:textId="04AE5364" w:rsidR="00C74691" w:rsidRPr="00C74691" w:rsidRDefault="00C74691" w:rsidP="00C74691">
      <w:pPr>
        <w:pStyle w:val="Default"/>
        <w:rPr>
          <w:sz w:val="22"/>
          <w:szCs w:val="22"/>
          <w:u w:val="single"/>
        </w:rPr>
      </w:pPr>
      <w:r w:rsidRPr="00C74691">
        <w:rPr>
          <w:sz w:val="22"/>
          <w:szCs w:val="22"/>
          <w:u w:val="single"/>
        </w:rPr>
        <w:t>Algemene kosten</w:t>
      </w:r>
    </w:p>
    <w:p w14:paraId="38D50745" w14:textId="19E03D0A" w:rsidR="005C0092" w:rsidRDefault="00C74691" w:rsidP="005C0092">
      <w:pPr>
        <w:pStyle w:val="Default"/>
        <w:rPr>
          <w:sz w:val="22"/>
          <w:szCs w:val="22"/>
        </w:rPr>
      </w:pPr>
      <w:r>
        <w:rPr>
          <w:sz w:val="22"/>
          <w:szCs w:val="22"/>
        </w:rPr>
        <w:t>De algemene kosten zijn de kosten voor o.a. de ALV, representatiekosten</w:t>
      </w:r>
      <w:r w:rsidR="00EE48B1">
        <w:rPr>
          <w:sz w:val="22"/>
          <w:szCs w:val="22"/>
        </w:rPr>
        <w:t>, UBO-inschrijving</w:t>
      </w:r>
      <w:r>
        <w:rPr>
          <w:sz w:val="22"/>
          <w:szCs w:val="22"/>
        </w:rPr>
        <w:t xml:space="preserve"> en afboeking dubieuze debiteuren. Standaard werd uitgegaan van € 1.500. Gezien de realisatie in 20</w:t>
      </w:r>
      <w:r w:rsidR="00504A1D">
        <w:rPr>
          <w:sz w:val="22"/>
          <w:szCs w:val="22"/>
        </w:rPr>
        <w:t>2</w:t>
      </w:r>
      <w:r w:rsidR="00AA59E4">
        <w:rPr>
          <w:sz w:val="22"/>
          <w:szCs w:val="22"/>
        </w:rPr>
        <w:t>1</w:t>
      </w:r>
      <w:r>
        <w:rPr>
          <w:sz w:val="22"/>
          <w:szCs w:val="22"/>
        </w:rPr>
        <w:t xml:space="preserve"> </w:t>
      </w:r>
      <w:r w:rsidR="002027A3">
        <w:rPr>
          <w:sz w:val="22"/>
          <w:szCs w:val="22"/>
        </w:rPr>
        <w:t>lijkt het niet</w:t>
      </w:r>
      <w:r w:rsidR="00186C88">
        <w:rPr>
          <w:sz w:val="22"/>
          <w:szCs w:val="22"/>
        </w:rPr>
        <w:t xml:space="preserve"> </w:t>
      </w:r>
      <w:r w:rsidR="0003456B">
        <w:rPr>
          <w:sz w:val="22"/>
          <w:szCs w:val="22"/>
        </w:rPr>
        <w:t>noodzakelijk dit</w:t>
      </w:r>
      <w:r w:rsidR="002027A3">
        <w:rPr>
          <w:sz w:val="22"/>
          <w:szCs w:val="22"/>
        </w:rPr>
        <w:t xml:space="preserve"> bedrag verder naar boven bij te stellen</w:t>
      </w:r>
      <w:r>
        <w:rPr>
          <w:sz w:val="22"/>
          <w:szCs w:val="22"/>
        </w:rPr>
        <w:t xml:space="preserve">. </w:t>
      </w:r>
    </w:p>
    <w:p w14:paraId="0688314C" w14:textId="31D7F758" w:rsidR="00D14090" w:rsidRDefault="00D14090" w:rsidP="005C0092">
      <w:pPr>
        <w:pStyle w:val="Default"/>
        <w:rPr>
          <w:sz w:val="22"/>
          <w:szCs w:val="22"/>
        </w:rPr>
      </w:pPr>
    </w:p>
    <w:p w14:paraId="4538B06D" w14:textId="77777777" w:rsidR="00D14090" w:rsidRPr="005C0092" w:rsidRDefault="00D14090" w:rsidP="005C0092">
      <w:pPr>
        <w:pStyle w:val="Default"/>
        <w:rPr>
          <w:sz w:val="22"/>
          <w:szCs w:val="22"/>
        </w:rPr>
      </w:pPr>
    </w:p>
    <w:p w14:paraId="32BD38C5" w14:textId="2F2851C0" w:rsidR="00C74691" w:rsidRPr="00C74691" w:rsidRDefault="00C74691" w:rsidP="00C74691">
      <w:pPr>
        <w:pStyle w:val="Default"/>
        <w:rPr>
          <w:sz w:val="22"/>
          <w:szCs w:val="22"/>
          <w:u w:val="single"/>
        </w:rPr>
      </w:pPr>
      <w:r w:rsidRPr="00C74691">
        <w:rPr>
          <w:sz w:val="22"/>
          <w:szCs w:val="22"/>
          <w:u w:val="single"/>
        </w:rPr>
        <w:t>Vaktechnische Commissie</w:t>
      </w:r>
    </w:p>
    <w:p w14:paraId="77963B8D" w14:textId="20CCA29E" w:rsidR="00C74691" w:rsidRDefault="00C74691" w:rsidP="00C74691">
      <w:pPr>
        <w:pStyle w:val="Default"/>
        <w:rPr>
          <w:sz w:val="22"/>
          <w:szCs w:val="22"/>
        </w:rPr>
      </w:pPr>
      <w:r w:rsidRPr="005376B1">
        <w:rPr>
          <w:sz w:val="22"/>
          <w:szCs w:val="22"/>
        </w:rPr>
        <w:t xml:space="preserve">Gezien de realisatie </w:t>
      </w:r>
      <w:r w:rsidR="00230ACF">
        <w:rPr>
          <w:sz w:val="22"/>
          <w:szCs w:val="22"/>
        </w:rPr>
        <w:t>202</w:t>
      </w:r>
      <w:r w:rsidR="00AA59E4">
        <w:rPr>
          <w:sz w:val="22"/>
          <w:szCs w:val="22"/>
        </w:rPr>
        <w:t>1</w:t>
      </w:r>
      <w:r w:rsidR="00230ACF">
        <w:rPr>
          <w:sz w:val="22"/>
          <w:szCs w:val="22"/>
        </w:rPr>
        <w:t xml:space="preserve"> </w:t>
      </w:r>
      <w:r w:rsidRPr="005376B1">
        <w:rPr>
          <w:sz w:val="22"/>
          <w:szCs w:val="22"/>
        </w:rPr>
        <w:t xml:space="preserve">op de </w:t>
      </w:r>
      <w:r w:rsidR="00230ACF">
        <w:rPr>
          <w:sz w:val="22"/>
          <w:szCs w:val="22"/>
        </w:rPr>
        <w:t xml:space="preserve">post </w:t>
      </w:r>
      <w:r w:rsidRPr="005376B1">
        <w:rPr>
          <w:sz w:val="22"/>
          <w:szCs w:val="22"/>
        </w:rPr>
        <w:t>vaktechnische commissie</w:t>
      </w:r>
      <w:r w:rsidR="005B65C6" w:rsidRPr="005376B1">
        <w:rPr>
          <w:sz w:val="22"/>
          <w:szCs w:val="22"/>
        </w:rPr>
        <w:t xml:space="preserve"> </w:t>
      </w:r>
      <w:r w:rsidR="005376B1" w:rsidRPr="005376B1">
        <w:rPr>
          <w:sz w:val="22"/>
          <w:szCs w:val="22"/>
        </w:rPr>
        <w:t xml:space="preserve">- vanwege reis- en vergaderkosten - </w:t>
      </w:r>
      <w:r w:rsidR="00915956" w:rsidRPr="005376B1">
        <w:rPr>
          <w:sz w:val="22"/>
          <w:szCs w:val="22"/>
        </w:rPr>
        <w:t>is de</w:t>
      </w:r>
      <w:r w:rsidRPr="005376B1">
        <w:rPr>
          <w:sz w:val="22"/>
          <w:szCs w:val="22"/>
        </w:rPr>
        <w:t xml:space="preserve"> raming </w:t>
      </w:r>
      <w:r w:rsidR="00AA59E4">
        <w:rPr>
          <w:sz w:val="22"/>
          <w:szCs w:val="22"/>
        </w:rPr>
        <w:t xml:space="preserve">bepaald op </w:t>
      </w:r>
      <w:r w:rsidRPr="005376B1">
        <w:rPr>
          <w:sz w:val="22"/>
          <w:szCs w:val="22"/>
        </w:rPr>
        <w:t xml:space="preserve">€ </w:t>
      </w:r>
      <w:r w:rsidR="00915956" w:rsidRPr="005376B1">
        <w:rPr>
          <w:sz w:val="22"/>
          <w:szCs w:val="22"/>
        </w:rPr>
        <w:t>1.000, -</w:t>
      </w:r>
      <w:r w:rsidRPr="005376B1">
        <w:rPr>
          <w:sz w:val="22"/>
          <w:szCs w:val="22"/>
        </w:rPr>
        <w:t xml:space="preserve">. </w:t>
      </w:r>
      <w:r w:rsidR="005376B1" w:rsidRPr="005376B1">
        <w:rPr>
          <w:sz w:val="22"/>
          <w:szCs w:val="22"/>
        </w:rPr>
        <w:t xml:space="preserve"> </w:t>
      </w:r>
      <w:r w:rsidR="00AA59E4">
        <w:rPr>
          <w:sz w:val="22"/>
          <w:szCs w:val="22"/>
        </w:rPr>
        <w:t xml:space="preserve">Hierin is </w:t>
      </w:r>
      <w:r w:rsidR="00504A1D" w:rsidRPr="005376B1">
        <w:rPr>
          <w:sz w:val="22"/>
          <w:szCs w:val="22"/>
          <w:u w:val="single"/>
        </w:rPr>
        <w:t>niet</w:t>
      </w:r>
      <w:r w:rsidR="00504A1D" w:rsidRPr="005376B1">
        <w:rPr>
          <w:sz w:val="22"/>
          <w:szCs w:val="22"/>
        </w:rPr>
        <w:t xml:space="preserve"> </w:t>
      </w:r>
      <w:r w:rsidR="005376B1">
        <w:rPr>
          <w:sz w:val="22"/>
          <w:szCs w:val="22"/>
        </w:rPr>
        <w:t xml:space="preserve">meegenomen </w:t>
      </w:r>
      <w:r w:rsidRPr="005376B1">
        <w:rPr>
          <w:sz w:val="22"/>
          <w:szCs w:val="22"/>
        </w:rPr>
        <w:t>de</w:t>
      </w:r>
      <w:r>
        <w:rPr>
          <w:sz w:val="22"/>
          <w:szCs w:val="22"/>
        </w:rPr>
        <w:t xml:space="preserve"> jaarlijkse voorziening ten behoeve van de accreditatiecommissie (die eens in </w:t>
      </w:r>
      <w:r w:rsidR="00927250">
        <w:rPr>
          <w:sz w:val="22"/>
          <w:szCs w:val="22"/>
        </w:rPr>
        <w:t>4</w:t>
      </w:r>
      <w:r>
        <w:rPr>
          <w:sz w:val="22"/>
          <w:szCs w:val="22"/>
        </w:rPr>
        <w:t xml:space="preserve"> jaar de EUR en de VU accrediteert).</w:t>
      </w:r>
      <w:r w:rsidR="00504A1D">
        <w:rPr>
          <w:sz w:val="22"/>
          <w:szCs w:val="22"/>
        </w:rPr>
        <w:t xml:space="preserve"> Daarvoor is</w:t>
      </w:r>
      <w:r w:rsidR="005376B1">
        <w:rPr>
          <w:sz w:val="22"/>
          <w:szCs w:val="22"/>
        </w:rPr>
        <w:t xml:space="preserve"> </w:t>
      </w:r>
      <w:r w:rsidR="00504A1D">
        <w:rPr>
          <w:sz w:val="22"/>
          <w:szCs w:val="22"/>
        </w:rPr>
        <w:t xml:space="preserve">een bestemmingsreserve gevormd. </w:t>
      </w:r>
    </w:p>
    <w:p w14:paraId="59BBC50D" w14:textId="138372EB" w:rsidR="00C74691" w:rsidRDefault="00C74691" w:rsidP="00C74691">
      <w:pPr>
        <w:pStyle w:val="Default"/>
        <w:rPr>
          <w:sz w:val="22"/>
          <w:szCs w:val="22"/>
        </w:rPr>
      </w:pPr>
    </w:p>
    <w:p w14:paraId="3ACA006B" w14:textId="2D55A0BA" w:rsidR="00C74691" w:rsidRDefault="00C74691" w:rsidP="00C74691">
      <w:pPr>
        <w:spacing w:after="0" w:line="240" w:lineRule="auto"/>
        <w:rPr>
          <w:bCs/>
          <w:u w:val="single"/>
        </w:rPr>
      </w:pPr>
      <w:r w:rsidRPr="009222E0">
        <w:rPr>
          <w:bCs/>
          <w:u w:val="single"/>
        </w:rPr>
        <w:t>Communicatie &amp; Media</w:t>
      </w:r>
    </w:p>
    <w:p w14:paraId="727EE76E" w14:textId="3E3E8927" w:rsidR="00C74691" w:rsidRPr="009222E0" w:rsidRDefault="00C74691" w:rsidP="00C74691">
      <w:pPr>
        <w:spacing w:after="0" w:line="240" w:lineRule="auto"/>
        <w:rPr>
          <w:bCs/>
        </w:rPr>
      </w:pPr>
      <w:r>
        <w:rPr>
          <w:bCs/>
        </w:rPr>
        <w:t xml:space="preserve">In de ALV is besloten het budget Communicatie &amp; Media te verhogen tot € </w:t>
      </w:r>
      <w:r w:rsidR="00915956">
        <w:rPr>
          <w:bCs/>
        </w:rPr>
        <w:t>2.000, --</w:t>
      </w:r>
      <w:r w:rsidR="00EE48B1">
        <w:rPr>
          <w:bCs/>
        </w:rPr>
        <w:t>. Het communicatieplan dat daaraan ten grondslag ligt is in de algemene ledenvergadering van 2021 vastgesteld en wordt nu verder in uitvoering genomen</w:t>
      </w:r>
      <w:r w:rsidR="00927250">
        <w:rPr>
          <w:bCs/>
        </w:rPr>
        <w:t>.</w:t>
      </w:r>
    </w:p>
    <w:p w14:paraId="2E959035" w14:textId="77777777" w:rsidR="00C74691" w:rsidRDefault="00C74691" w:rsidP="00C74691">
      <w:pPr>
        <w:pStyle w:val="Default"/>
        <w:rPr>
          <w:sz w:val="22"/>
          <w:szCs w:val="22"/>
        </w:rPr>
      </w:pPr>
    </w:p>
    <w:p w14:paraId="34DC6A21" w14:textId="0C6C3763" w:rsidR="00C74691" w:rsidRPr="00C74691" w:rsidRDefault="00C74691" w:rsidP="00C74691">
      <w:pPr>
        <w:pStyle w:val="Default"/>
        <w:rPr>
          <w:sz w:val="22"/>
          <w:szCs w:val="22"/>
          <w:u w:val="single"/>
        </w:rPr>
      </w:pPr>
      <w:r w:rsidRPr="00C74691">
        <w:rPr>
          <w:sz w:val="22"/>
          <w:szCs w:val="22"/>
          <w:u w:val="single"/>
        </w:rPr>
        <w:t>Raden van Tucht en Beroep</w:t>
      </w:r>
    </w:p>
    <w:p w14:paraId="46217301" w14:textId="77777777" w:rsidR="00C74691" w:rsidRDefault="00C74691" w:rsidP="00C74691">
      <w:pPr>
        <w:pStyle w:val="Default"/>
        <w:rPr>
          <w:sz w:val="22"/>
          <w:szCs w:val="22"/>
        </w:rPr>
      </w:pPr>
      <w:r>
        <w:rPr>
          <w:sz w:val="22"/>
          <w:szCs w:val="22"/>
        </w:rPr>
        <w:t xml:space="preserve">Voor de Raden van Tucht en Beroep was een structureel bedrag van € 500 opgenomen. Voor deze raden wordt mogelijk een andere opzet gekozen (onderzocht wordt of samenwerking met raden van zusterorganisaties mogelijk is); de raming wordt daarom vooralsnog gehandhaafd op € 500. </w:t>
      </w:r>
    </w:p>
    <w:p w14:paraId="6A097DCE" w14:textId="77777777" w:rsidR="00C74691" w:rsidRDefault="00C74691" w:rsidP="00C74691">
      <w:pPr>
        <w:pStyle w:val="Default"/>
        <w:rPr>
          <w:sz w:val="22"/>
          <w:szCs w:val="22"/>
        </w:rPr>
      </w:pPr>
    </w:p>
    <w:p w14:paraId="7FC0DCBD" w14:textId="40524100" w:rsidR="00C74691" w:rsidRPr="00C74691" w:rsidRDefault="00C74691" w:rsidP="00C74691">
      <w:pPr>
        <w:pStyle w:val="Default"/>
        <w:rPr>
          <w:sz w:val="22"/>
          <w:szCs w:val="22"/>
          <w:u w:val="single"/>
        </w:rPr>
      </w:pPr>
      <w:r w:rsidRPr="00C74691">
        <w:rPr>
          <w:sz w:val="22"/>
          <w:szCs w:val="22"/>
          <w:u w:val="single"/>
        </w:rPr>
        <w:t>Voorziening Marktregistratie EU</w:t>
      </w:r>
    </w:p>
    <w:p w14:paraId="61CB8444" w14:textId="69A1C524" w:rsidR="00C74691" w:rsidRDefault="00C74691" w:rsidP="00C74691">
      <w:pPr>
        <w:pStyle w:val="Default"/>
        <w:rPr>
          <w:sz w:val="22"/>
          <w:szCs w:val="22"/>
        </w:rPr>
      </w:pPr>
      <w:r>
        <w:rPr>
          <w:sz w:val="22"/>
          <w:szCs w:val="22"/>
        </w:rPr>
        <w:t>Sinds 2014 is een voorziening van € 330</w:t>
      </w:r>
      <w:r w:rsidR="00CB7908">
        <w:rPr>
          <w:sz w:val="22"/>
          <w:szCs w:val="22"/>
        </w:rPr>
        <w:t>,-</w:t>
      </w:r>
      <w:r>
        <w:rPr>
          <w:sz w:val="22"/>
          <w:szCs w:val="22"/>
        </w:rPr>
        <w:t xml:space="preserve"> per jaar opgenomen voor de verlenging van het logo beeldmerk bij het Benelux merkenbureau. </w:t>
      </w:r>
      <w:r w:rsidR="00AA59E4">
        <w:rPr>
          <w:sz w:val="22"/>
          <w:szCs w:val="22"/>
        </w:rPr>
        <w:t xml:space="preserve">Op basis van ervaringscijfers blijkt dat dit bedrag voorlopig naar nul kan worden bijgesteld, omdat de kosten in de praktijk meevallen. </w:t>
      </w:r>
      <w:r>
        <w:rPr>
          <w:sz w:val="22"/>
          <w:szCs w:val="22"/>
        </w:rPr>
        <w:t xml:space="preserve">Het beeldmerk wordt ééns per tien jaar vernieuwd. De laatste vernieuwing heeft in 2012 plaatsgevonden. </w:t>
      </w:r>
    </w:p>
    <w:p w14:paraId="0E8EFF94" w14:textId="77777777" w:rsidR="00C74691" w:rsidRDefault="00C74691" w:rsidP="00C74691">
      <w:pPr>
        <w:pStyle w:val="Default"/>
        <w:rPr>
          <w:sz w:val="22"/>
          <w:szCs w:val="22"/>
        </w:rPr>
      </w:pPr>
    </w:p>
    <w:p w14:paraId="6446E07D" w14:textId="5E833D57" w:rsidR="00C74691" w:rsidRPr="00C74691" w:rsidRDefault="00C74691" w:rsidP="00C74691">
      <w:pPr>
        <w:pStyle w:val="Default"/>
        <w:rPr>
          <w:sz w:val="22"/>
          <w:szCs w:val="22"/>
          <w:u w:val="single"/>
        </w:rPr>
      </w:pPr>
      <w:r w:rsidRPr="00C74691">
        <w:rPr>
          <w:sz w:val="22"/>
          <w:szCs w:val="22"/>
          <w:u w:val="single"/>
        </w:rPr>
        <w:t>Bureau- en administratiekosten</w:t>
      </w:r>
    </w:p>
    <w:p w14:paraId="69D205FC" w14:textId="30B094E2" w:rsidR="00C74691" w:rsidRDefault="00C74691" w:rsidP="00C74691">
      <w:pPr>
        <w:pStyle w:val="Default"/>
        <w:rPr>
          <w:sz w:val="22"/>
          <w:szCs w:val="22"/>
        </w:rPr>
      </w:pPr>
      <w:r w:rsidRPr="00FB753B">
        <w:rPr>
          <w:sz w:val="22"/>
          <w:szCs w:val="22"/>
        </w:rPr>
        <w:t xml:space="preserve">Bureau- en administratiekosten bestaan uit professionele ondersteuning door MOS (secretariaat, ledenadministratie, enz.). Gezien de realisatie gaat de raming </w:t>
      </w:r>
      <w:r w:rsidRPr="00EE48B1">
        <w:rPr>
          <w:sz w:val="22"/>
          <w:szCs w:val="22"/>
        </w:rPr>
        <w:t xml:space="preserve">naar € </w:t>
      </w:r>
      <w:r w:rsidR="00915956" w:rsidRPr="00EE48B1">
        <w:rPr>
          <w:sz w:val="22"/>
          <w:szCs w:val="22"/>
        </w:rPr>
        <w:t>2</w:t>
      </w:r>
      <w:r w:rsidR="00EE48B1" w:rsidRPr="00EE48B1">
        <w:rPr>
          <w:sz w:val="22"/>
          <w:szCs w:val="22"/>
        </w:rPr>
        <w:t>3</w:t>
      </w:r>
      <w:r w:rsidR="00915956" w:rsidRPr="00EE48B1">
        <w:rPr>
          <w:sz w:val="22"/>
          <w:szCs w:val="22"/>
        </w:rPr>
        <w:t>.</w:t>
      </w:r>
      <w:r w:rsidR="00EE48B1" w:rsidRPr="00EE48B1">
        <w:rPr>
          <w:sz w:val="22"/>
          <w:szCs w:val="22"/>
        </w:rPr>
        <w:t>250</w:t>
      </w:r>
      <w:r w:rsidR="00915956" w:rsidRPr="00EE48B1">
        <w:rPr>
          <w:sz w:val="22"/>
          <w:szCs w:val="22"/>
        </w:rPr>
        <w:t>, -</w:t>
      </w:r>
      <w:r w:rsidR="00927250" w:rsidRPr="00EE48B1">
        <w:rPr>
          <w:sz w:val="22"/>
          <w:szCs w:val="22"/>
        </w:rPr>
        <w:t xml:space="preserve"> voor 202</w:t>
      </w:r>
      <w:r w:rsidR="00AA59E4" w:rsidRPr="00EE48B1">
        <w:rPr>
          <w:sz w:val="22"/>
          <w:szCs w:val="22"/>
        </w:rPr>
        <w:t>3</w:t>
      </w:r>
      <w:r w:rsidR="00FB753B" w:rsidRPr="00EE48B1">
        <w:rPr>
          <w:sz w:val="22"/>
          <w:szCs w:val="22"/>
        </w:rPr>
        <w:t>.</w:t>
      </w:r>
      <w:r w:rsidR="00EE48B1">
        <w:rPr>
          <w:sz w:val="22"/>
          <w:szCs w:val="22"/>
        </w:rPr>
        <w:t xml:space="preserve"> Het contract met MOS wordt nauwgezet gemonitord en periodiek geëvalueerd</w:t>
      </w:r>
      <w:r w:rsidR="00CB7908">
        <w:rPr>
          <w:sz w:val="22"/>
          <w:szCs w:val="22"/>
        </w:rPr>
        <w:t>, ook om bij te sturen resp. te bepalen of het wenselijk is over te stappen naar een ander bureau- en administratiekantoor.</w:t>
      </w:r>
    </w:p>
    <w:p w14:paraId="30E50A16" w14:textId="4A9B719B" w:rsidR="00C74691" w:rsidRDefault="00C74691" w:rsidP="00C74691">
      <w:pPr>
        <w:pStyle w:val="Default"/>
        <w:rPr>
          <w:sz w:val="22"/>
          <w:szCs w:val="22"/>
        </w:rPr>
      </w:pPr>
    </w:p>
    <w:p w14:paraId="26C6F8A4" w14:textId="28968124" w:rsidR="00C74691" w:rsidRPr="00EE48B1" w:rsidRDefault="00C74691" w:rsidP="00C74691">
      <w:pPr>
        <w:pStyle w:val="Default"/>
        <w:rPr>
          <w:sz w:val="22"/>
          <w:szCs w:val="22"/>
          <w:u w:val="single"/>
        </w:rPr>
      </w:pPr>
      <w:r w:rsidRPr="00EE48B1">
        <w:rPr>
          <w:sz w:val="22"/>
          <w:szCs w:val="22"/>
          <w:u w:val="single"/>
        </w:rPr>
        <w:t>Ondersteuning automatisering</w:t>
      </w:r>
    </w:p>
    <w:p w14:paraId="64C41096" w14:textId="3E83142E" w:rsidR="00C74691" w:rsidRDefault="00C74691" w:rsidP="00C74691">
      <w:pPr>
        <w:pStyle w:val="Default"/>
        <w:rPr>
          <w:sz w:val="22"/>
          <w:szCs w:val="22"/>
        </w:rPr>
      </w:pPr>
      <w:r w:rsidRPr="00EE48B1">
        <w:rPr>
          <w:sz w:val="22"/>
          <w:szCs w:val="22"/>
        </w:rPr>
        <w:t>Voor automatisering</w:t>
      </w:r>
      <w:r w:rsidR="00CB7908">
        <w:rPr>
          <w:sz w:val="22"/>
          <w:szCs w:val="22"/>
        </w:rPr>
        <w:t xml:space="preserve"> is o</w:t>
      </w:r>
      <w:r w:rsidR="00927250" w:rsidRPr="00EE48B1">
        <w:rPr>
          <w:sz w:val="22"/>
          <w:szCs w:val="22"/>
        </w:rPr>
        <w:t xml:space="preserve">p basis van de realisatie </w:t>
      </w:r>
      <w:r w:rsidR="00CB7908">
        <w:rPr>
          <w:sz w:val="22"/>
          <w:szCs w:val="22"/>
        </w:rPr>
        <w:t xml:space="preserve">in het (verdere) verleden </w:t>
      </w:r>
      <w:r w:rsidR="00915956" w:rsidRPr="00EE48B1">
        <w:rPr>
          <w:sz w:val="22"/>
          <w:szCs w:val="22"/>
        </w:rPr>
        <w:t>is</w:t>
      </w:r>
      <w:r w:rsidR="00504A1D" w:rsidRPr="00EE48B1">
        <w:rPr>
          <w:sz w:val="22"/>
          <w:szCs w:val="22"/>
        </w:rPr>
        <w:t xml:space="preserve"> </w:t>
      </w:r>
      <w:r w:rsidR="00927250" w:rsidRPr="00EE48B1">
        <w:rPr>
          <w:sz w:val="22"/>
          <w:szCs w:val="22"/>
        </w:rPr>
        <w:t xml:space="preserve">dit </w:t>
      </w:r>
      <w:r w:rsidRPr="00EE48B1">
        <w:rPr>
          <w:sz w:val="22"/>
          <w:szCs w:val="22"/>
        </w:rPr>
        <w:t>verhoogd</w:t>
      </w:r>
      <w:r w:rsidR="00504A1D" w:rsidRPr="00EE48B1">
        <w:rPr>
          <w:sz w:val="22"/>
          <w:szCs w:val="22"/>
        </w:rPr>
        <w:t xml:space="preserve"> en wordt voor de komende jaren rekening gehouden met</w:t>
      </w:r>
      <w:r w:rsidR="00FB753B" w:rsidRPr="00EE48B1">
        <w:rPr>
          <w:sz w:val="22"/>
          <w:szCs w:val="22"/>
        </w:rPr>
        <w:t xml:space="preserve"> een reële kostenstijging</w:t>
      </w:r>
      <w:r w:rsidR="00927250" w:rsidRPr="00EE48B1">
        <w:rPr>
          <w:sz w:val="22"/>
          <w:szCs w:val="22"/>
        </w:rPr>
        <w:t>.</w:t>
      </w:r>
      <w:r w:rsidRPr="00EE48B1">
        <w:rPr>
          <w:sz w:val="22"/>
          <w:szCs w:val="22"/>
        </w:rPr>
        <w:t xml:space="preserve"> </w:t>
      </w:r>
      <w:r w:rsidR="00EE48B1" w:rsidRPr="00EE48B1">
        <w:rPr>
          <w:sz w:val="22"/>
          <w:szCs w:val="22"/>
        </w:rPr>
        <w:t>Hierin</w:t>
      </w:r>
      <w:r w:rsidR="00EE48B1">
        <w:rPr>
          <w:sz w:val="22"/>
          <w:szCs w:val="22"/>
        </w:rPr>
        <w:t xml:space="preserve"> is rekening gehouden met hosting van TPC online van € 500,- per jaar.</w:t>
      </w:r>
    </w:p>
    <w:p w14:paraId="042D36C9" w14:textId="77777777" w:rsidR="00C74691" w:rsidRDefault="00C74691" w:rsidP="00C74691">
      <w:pPr>
        <w:pStyle w:val="Default"/>
        <w:rPr>
          <w:sz w:val="22"/>
          <w:szCs w:val="22"/>
        </w:rPr>
      </w:pPr>
    </w:p>
    <w:p w14:paraId="4A89C00C" w14:textId="77777777" w:rsidR="00C74691" w:rsidRPr="00C74691" w:rsidRDefault="00C74691" w:rsidP="00C74691">
      <w:pPr>
        <w:pStyle w:val="Default"/>
        <w:rPr>
          <w:sz w:val="22"/>
          <w:szCs w:val="22"/>
          <w:u w:val="single"/>
        </w:rPr>
      </w:pPr>
      <w:r w:rsidRPr="00C74691">
        <w:rPr>
          <w:sz w:val="22"/>
          <w:szCs w:val="22"/>
          <w:u w:val="single"/>
        </w:rPr>
        <w:t>Congres in Eigen Beheer</w:t>
      </w:r>
    </w:p>
    <w:p w14:paraId="579E1791" w14:textId="65657DA4" w:rsidR="00C74691" w:rsidRDefault="00C74691" w:rsidP="00C74691">
      <w:pPr>
        <w:pStyle w:val="Default"/>
        <w:rPr>
          <w:sz w:val="22"/>
          <w:szCs w:val="22"/>
        </w:rPr>
      </w:pPr>
      <w:r>
        <w:rPr>
          <w:sz w:val="22"/>
          <w:szCs w:val="22"/>
        </w:rPr>
        <w:t xml:space="preserve">Voor het congres wordt uitgegaan </w:t>
      </w:r>
      <w:r w:rsidR="00927250">
        <w:rPr>
          <w:sz w:val="22"/>
          <w:szCs w:val="22"/>
        </w:rPr>
        <w:t xml:space="preserve">dat de kosten worden gedekt uit de opbrengsten en resulteren in </w:t>
      </w:r>
      <w:r w:rsidR="00927250" w:rsidRPr="00927250">
        <w:rPr>
          <w:sz w:val="22"/>
          <w:szCs w:val="22"/>
        </w:rPr>
        <w:t>een</w:t>
      </w:r>
      <w:r w:rsidRPr="00927250">
        <w:rPr>
          <w:sz w:val="22"/>
          <w:szCs w:val="22"/>
        </w:rPr>
        <w:t xml:space="preserve"> resultaat van € 0.</w:t>
      </w:r>
      <w:r>
        <w:rPr>
          <w:sz w:val="22"/>
          <w:szCs w:val="22"/>
        </w:rPr>
        <w:t xml:space="preserve"> </w:t>
      </w:r>
    </w:p>
    <w:p w14:paraId="13B52D46" w14:textId="77777777" w:rsidR="00C74691" w:rsidRDefault="00C74691" w:rsidP="00C74691">
      <w:pPr>
        <w:spacing w:after="0" w:line="240" w:lineRule="auto"/>
        <w:rPr>
          <w:bCs/>
          <w:u w:val="single"/>
        </w:rPr>
      </w:pPr>
    </w:p>
    <w:p w14:paraId="679275CC" w14:textId="2D7C46CF" w:rsidR="00C74691" w:rsidRPr="00EE48B1" w:rsidRDefault="00C74691" w:rsidP="00C74691">
      <w:pPr>
        <w:spacing w:after="0" w:line="240" w:lineRule="auto"/>
        <w:rPr>
          <w:b/>
          <w:bCs/>
          <w:color w:val="FFFFFF" w:themeColor="background1"/>
        </w:rPr>
      </w:pPr>
      <w:r w:rsidRPr="00EE48B1">
        <w:rPr>
          <w:bCs/>
          <w:u w:val="single"/>
        </w:rPr>
        <w:t>TPC in Eigen Beheer</w:t>
      </w:r>
    </w:p>
    <w:p w14:paraId="382BDACD" w14:textId="2202B994" w:rsidR="00EB4353" w:rsidRPr="00EE48B1" w:rsidRDefault="00C74691" w:rsidP="00EB4353">
      <w:pPr>
        <w:spacing w:after="0"/>
      </w:pPr>
      <w:r w:rsidRPr="00EE48B1">
        <w:rPr>
          <w:bCs/>
        </w:rPr>
        <w:lastRenderedPageBreak/>
        <w:t>Betreffen de kosten van vervaardigen en verspreiden van het met ingang van 1 januari 2020 in eigen beheer uitgeven van TPC. Ook de kosten om TPC digitaal via de website van EICPC te ontsluiten</w:t>
      </w:r>
      <w:r w:rsidR="00EB4353" w:rsidRPr="00EE48B1">
        <w:rPr>
          <w:bCs/>
        </w:rPr>
        <w:t xml:space="preserve"> vallen </w:t>
      </w:r>
      <w:r w:rsidR="00915956" w:rsidRPr="00EE48B1">
        <w:rPr>
          <w:bCs/>
        </w:rPr>
        <w:t>als</w:t>
      </w:r>
      <w:r w:rsidR="005C0092" w:rsidRPr="00EE48B1">
        <w:rPr>
          <w:bCs/>
        </w:rPr>
        <w:t xml:space="preserve"> deze gemaakt worden </w:t>
      </w:r>
      <w:r w:rsidR="00EB4353" w:rsidRPr="00EE48B1">
        <w:rPr>
          <w:bCs/>
        </w:rPr>
        <w:t xml:space="preserve">onder deze kostenpost. Evt. ruimte die ontstaat doordat de kosten van uitgifte voor TPC lager uitvallen als de inkomsten via (toegerekende) contributie wordt ingezet voor het op termijn verder digitaal ontsluiten via open access. </w:t>
      </w:r>
      <w:r w:rsidR="00EB4353" w:rsidRPr="00EE48B1">
        <w:t xml:space="preserve">Het bestuur heeft in 2019 besloten het traject naar open acces niet gelijk op te pakken. Eerste prioriteit heeft het bestuur gegeven aan de overdracht van TPC naar EICPC en het regelen dat EICPC onder verantwoordelijkheid van het EICPC kan worden uitgegeven </w:t>
      </w:r>
      <w:r w:rsidR="005C0092" w:rsidRPr="00EE48B1">
        <w:t xml:space="preserve">door </w:t>
      </w:r>
      <w:proofErr w:type="spellStart"/>
      <w:r w:rsidR="005C0092" w:rsidRPr="00EE48B1">
        <w:t>ImagoMediabuilders</w:t>
      </w:r>
      <w:proofErr w:type="spellEnd"/>
      <w:r w:rsidR="005C0092" w:rsidRPr="00EE48B1">
        <w:t xml:space="preserve"> </w:t>
      </w:r>
      <w:r w:rsidR="00EB4353" w:rsidRPr="00EE48B1">
        <w:t xml:space="preserve">(op papier en digitaal) en dat de content van TPC-online op een afgeschermd deel van de website van EICPC ontsloten wordt. </w:t>
      </w:r>
    </w:p>
    <w:p w14:paraId="34F139FE" w14:textId="17E03EF6" w:rsidR="00927250" w:rsidRDefault="00927250" w:rsidP="00EB4353">
      <w:pPr>
        <w:spacing w:after="0"/>
      </w:pPr>
      <w:r w:rsidRPr="00EE48B1">
        <w:t>Uitgangspunt is dat de kosten</w:t>
      </w:r>
      <w:r w:rsidR="00EE48B1" w:rsidRPr="00EE48B1">
        <w:t xml:space="preserve"> - ook als deze stijgen als gevolg van kostenstijging van papier en drukken </w:t>
      </w:r>
      <w:r w:rsidR="0003632D" w:rsidRPr="00EE48B1">
        <w:t>- gedekt</w:t>
      </w:r>
      <w:r w:rsidRPr="00EE48B1">
        <w:t xml:space="preserve"> worden uit de opbrengsten en resulteren in een resultaat van € 0</w:t>
      </w:r>
      <w:r w:rsidR="005C0092" w:rsidRPr="00EE48B1">
        <w:t xml:space="preserve"> (of meer)</w:t>
      </w:r>
      <w:r w:rsidRPr="00EE48B1">
        <w:t>.</w:t>
      </w:r>
    </w:p>
    <w:p w14:paraId="78BE096B" w14:textId="0575C690" w:rsidR="00C74691" w:rsidRDefault="00C74691" w:rsidP="00C74691">
      <w:pPr>
        <w:spacing w:after="0" w:line="240" w:lineRule="auto"/>
        <w:rPr>
          <w:bCs/>
        </w:rPr>
      </w:pPr>
    </w:p>
    <w:p w14:paraId="17F5AE90" w14:textId="02941786" w:rsidR="00EB4353" w:rsidRDefault="00EB4353" w:rsidP="00010410">
      <w:pPr>
        <w:spacing w:after="0"/>
        <w:rPr>
          <w:u w:val="single"/>
        </w:rPr>
      </w:pPr>
      <w:r w:rsidRPr="00EB4353">
        <w:rPr>
          <w:u w:val="single"/>
        </w:rPr>
        <w:t>Verzekering en Bankkosten</w:t>
      </w:r>
    </w:p>
    <w:p w14:paraId="06571C1E" w14:textId="37176BFA" w:rsidR="00010410" w:rsidRDefault="00010410" w:rsidP="00010410">
      <w:pPr>
        <w:spacing w:after="0"/>
      </w:pPr>
      <w:r w:rsidRPr="00010410">
        <w:t>Er worden geen afwijkingen verwacht ten opzichte van de in het</w:t>
      </w:r>
      <w:r w:rsidR="00186C88">
        <w:t xml:space="preserve"> </w:t>
      </w:r>
      <w:r w:rsidR="0003456B">
        <w:t xml:space="preserve">verleden </w:t>
      </w:r>
      <w:r w:rsidR="0003456B" w:rsidRPr="00010410">
        <w:t>geraamde</w:t>
      </w:r>
      <w:r w:rsidRPr="00010410">
        <w:t xml:space="preserve"> budget.</w:t>
      </w:r>
    </w:p>
    <w:p w14:paraId="702C6F91" w14:textId="73C110A6" w:rsidR="008F22C5" w:rsidRDefault="008F22C5" w:rsidP="00010410">
      <w:pPr>
        <w:spacing w:after="0"/>
      </w:pPr>
    </w:p>
    <w:p w14:paraId="50A89DA0" w14:textId="2E7DD02A" w:rsidR="008F22C5" w:rsidRPr="00E03191" w:rsidRDefault="008F22C5" w:rsidP="00010410">
      <w:pPr>
        <w:spacing w:after="0"/>
        <w:rPr>
          <w:u w:val="single"/>
        </w:rPr>
      </w:pPr>
      <w:r w:rsidRPr="00E03191">
        <w:rPr>
          <w:u w:val="single"/>
        </w:rPr>
        <w:t>Resultaat</w:t>
      </w:r>
    </w:p>
    <w:p w14:paraId="6E662808" w14:textId="77777777" w:rsidR="00057C76" w:rsidRDefault="008F22C5" w:rsidP="00057C76">
      <w:pPr>
        <w:spacing w:after="0" w:line="240" w:lineRule="auto"/>
      </w:pPr>
      <w:r>
        <w:t>Het positieve resultaat</w:t>
      </w:r>
      <w:r w:rsidR="00057C76">
        <w:t xml:space="preserve"> zal worden aangewend voor het voeden van de bestemmingsreserves voor:</w:t>
      </w:r>
      <w:r w:rsidR="00057C76" w:rsidRPr="00057C76">
        <w:t xml:space="preserve"> </w:t>
      </w:r>
    </w:p>
    <w:p w14:paraId="6C80D175" w14:textId="787CFF96" w:rsidR="00057C76" w:rsidRDefault="00057C76" w:rsidP="00057C76">
      <w:pPr>
        <w:pStyle w:val="Lijstalinea"/>
        <w:numPr>
          <w:ilvl w:val="0"/>
          <w:numId w:val="4"/>
        </w:numPr>
        <w:spacing w:after="0" w:line="240" w:lineRule="auto"/>
        <w:contextualSpacing w:val="0"/>
      </w:pPr>
      <w:r>
        <w:t>Bestemmingsreserve “toekomstige accreditatiecommissie”</w:t>
      </w:r>
    </w:p>
    <w:p w14:paraId="24F06214" w14:textId="77777777" w:rsidR="00057C76" w:rsidRDefault="00057C76" w:rsidP="00057C76">
      <w:pPr>
        <w:pStyle w:val="Lijstalinea"/>
        <w:numPr>
          <w:ilvl w:val="0"/>
          <w:numId w:val="4"/>
        </w:numPr>
        <w:spacing w:after="0" w:line="240" w:lineRule="auto"/>
        <w:contextualSpacing w:val="0"/>
      </w:pPr>
      <w:r>
        <w:t>Bestemmingsreserve “open data – digitaal ontsluiten TPC”.</w:t>
      </w:r>
    </w:p>
    <w:p w14:paraId="2BA7B04E" w14:textId="34EF5463" w:rsidR="008F22C5" w:rsidRPr="00010410" w:rsidRDefault="008F22C5" w:rsidP="00010410">
      <w:pPr>
        <w:spacing w:after="0"/>
      </w:pPr>
    </w:p>
    <w:sectPr w:rsidR="008F22C5" w:rsidRPr="00010410" w:rsidSect="009D03A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031D" w14:textId="77777777" w:rsidR="00360454" w:rsidRDefault="00360454" w:rsidP="00FD50C4">
      <w:pPr>
        <w:spacing w:after="0" w:line="240" w:lineRule="auto"/>
      </w:pPr>
      <w:r>
        <w:separator/>
      </w:r>
    </w:p>
  </w:endnote>
  <w:endnote w:type="continuationSeparator" w:id="0">
    <w:p w14:paraId="4F000521" w14:textId="77777777" w:rsidR="00360454" w:rsidRDefault="00360454" w:rsidP="00FD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11482"/>
      <w:docPartObj>
        <w:docPartGallery w:val="Page Numbers (Bottom of Page)"/>
        <w:docPartUnique/>
      </w:docPartObj>
    </w:sdtPr>
    <w:sdtEndPr/>
    <w:sdtContent>
      <w:p w14:paraId="147F6C11" w14:textId="6D28127F" w:rsidR="005C0092" w:rsidRDefault="005C0092">
        <w:pPr>
          <w:pStyle w:val="Voettekst"/>
        </w:pPr>
        <w:r>
          <w:fldChar w:fldCharType="begin"/>
        </w:r>
        <w:r>
          <w:instrText>PAGE   \* MERGEFORMAT</w:instrText>
        </w:r>
        <w:r>
          <w:fldChar w:fldCharType="separate"/>
        </w:r>
        <w:r>
          <w:rPr>
            <w:noProof/>
          </w:rPr>
          <w:t>6</w:t>
        </w:r>
        <w:r>
          <w:fldChar w:fldCharType="end"/>
        </w:r>
      </w:p>
    </w:sdtContent>
  </w:sdt>
  <w:p w14:paraId="776188D6" w14:textId="77777777" w:rsidR="005C0092" w:rsidRDefault="005C00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1630" w14:textId="77777777" w:rsidR="00360454" w:rsidRDefault="00360454" w:rsidP="00FD50C4">
      <w:pPr>
        <w:spacing w:after="0" w:line="240" w:lineRule="auto"/>
      </w:pPr>
      <w:r>
        <w:separator/>
      </w:r>
    </w:p>
  </w:footnote>
  <w:footnote w:type="continuationSeparator" w:id="0">
    <w:p w14:paraId="5A6F8CC5" w14:textId="77777777" w:rsidR="00360454" w:rsidRDefault="00360454" w:rsidP="00FD50C4">
      <w:pPr>
        <w:spacing w:after="0" w:line="240" w:lineRule="auto"/>
      </w:pPr>
      <w:r>
        <w:continuationSeparator/>
      </w:r>
    </w:p>
  </w:footnote>
  <w:footnote w:id="1">
    <w:p w14:paraId="51D4EC39" w14:textId="3DBECFF9" w:rsidR="005C0092" w:rsidRPr="005C0092" w:rsidRDefault="005C0092">
      <w:pPr>
        <w:pStyle w:val="Voetnoottekst"/>
      </w:pPr>
      <w:r>
        <w:rPr>
          <w:rStyle w:val="Voetnootmarkering"/>
        </w:rPr>
        <w:footnoteRef/>
      </w:r>
      <w:r>
        <w:t xml:space="preserve"> </w:t>
      </w:r>
      <w:r w:rsidRPr="005C0092">
        <w:t xml:space="preserve">CPC leden betalen </w:t>
      </w:r>
      <w:r>
        <w:t xml:space="preserve">€ </w:t>
      </w:r>
      <w:r w:rsidRPr="005C0092">
        <w:t>200,-, Aspirant leden b</w:t>
      </w:r>
      <w:r>
        <w:t>etalen € 95,- en Geassocieerd leden betalen € 120,-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F92" w14:textId="32337196" w:rsidR="005C0092" w:rsidRPr="005C0092" w:rsidRDefault="009A2BCB">
    <w:pPr>
      <w:pStyle w:val="Koptekst"/>
      <w:rPr>
        <w:b/>
        <w:bCs/>
      </w:rPr>
    </w:pPr>
    <w:sdt>
      <w:sdtPr>
        <w:rPr>
          <w:b/>
          <w:bCs/>
        </w:rPr>
        <w:id w:val="-904684586"/>
        <w:docPartObj>
          <w:docPartGallery w:val="Watermarks"/>
          <w:docPartUnique/>
        </w:docPartObj>
      </w:sdtPr>
      <w:sdtEndPr/>
      <w:sdtContent>
        <w:r>
          <w:rPr>
            <w:b/>
            <w:bCs/>
          </w:rPr>
          <w:pict w14:anchorId="731F3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5C0092" w:rsidRPr="005C0092">
      <w:rPr>
        <w:b/>
        <w:bCs/>
      </w:rPr>
      <w:t>Begroting EICPC 202</w:t>
    </w:r>
    <w:r w:rsidR="001A562F">
      <w:rPr>
        <w:b/>
        <w:bCs/>
      </w:rPr>
      <w:t>3</w:t>
    </w:r>
  </w:p>
  <w:p w14:paraId="281BA590" w14:textId="74E27EE4" w:rsidR="005C0092" w:rsidRDefault="005C00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243"/>
    <w:multiLevelType w:val="hybridMultilevel"/>
    <w:tmpl w:val="524C8EC4"/>
    <w:lvl w:ilvl="0" w:tplc="B50E5B5C">
      <w:start w:val="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24863"/>
    <w:multiLevelType w:val="hybridMultilevel"/>
    <w:tmpl w:val="18C24D8E"/>
    <w:lvl w:ilvl="0" w:tplc="92AA244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3B44EFC"/>
    <w:multiLevelType w:val="hybridMultilevel"/>
    <w:tmpl w:val="00EA831A"/>
    <w:lvl w:ilvl="0" w:tplc="3B30F0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301E4"/>
    <w:multiLevelType w:val="hybridMultilevel"/>
    <w:tmpl w:val="3E628D7E"/>
    <w:lvl w:ilvl="0" w:tplc="81D43B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A6"/>
    <w:rsid w:val="00010410"/>
    <w:rsid w:val="0003456B"/>
    <w:rsid w:val="0003632D"/>
    <w:rsid w:val="00057C76"/>
    <w:rsid w:val="00066774"/>
    <w:rsid w:val="000716D5"/>
    <w:rsid w:val="000A26B4"/>
    <w:rsid w:val="001443D5"/>
    <w:rsid w:val="00186C88"/>
    <w:rsid w:val="0018758C"/>
    <w:rsid w:val="00193B1A"/>
    <w:rsid w:val="001A50C6"/>
    <w:rsid w:val="001A562F"/>
    <w:rsid w:val="001D6DC7"/>
    <w:rsid w:val="001F77F8"/>
    <w:rsid w:val="002027A3"/>
    <w:rsid w:val="00212FA2"/>
    <w:rsid w:val="00230ACF"/>
    <w:rsid w:val="002A10D0"/>
    <w:rsid w:val="002B0BA5"/>
    <w:rsid w:val="002D3166"/>
    <w:rsid w:val="002E723C"/>
    <w:rsid w:val="00301566"/>
    <w:rsid w:val="00306121"/>
    <w:rsid w:val="00315E02"/>
    <w:rsid w:val="003501E3"/>
    <w:rsid w:val="0035761E"/>
    <w:rsid w:val="00360454"/>
    <w:rsid w:val="00372A1B"/>
    <w:rsid w:val="00380328"/>
    <w:rsid w:val="003D08D0"/>
    <w:rsid w:val="003D75DA"/>
    <w:rsid w:val="004023F1"/>
    <w:rsid w:val="00467D3A"/>
    <w:rsid w:val="004F571A"/>
    <w:rsid w:val="00504A1D"/>
    <w:rsid w:val="0052082A"/>
    <w:rsid w:val="005376B1"/>
    <w:rsid w:val="00551FA5"/>
    <w:rsid w:val="005529E1"/>
    <w:rsid w:val="005850EC"/>
    <w:rsid w:val="005B65C6"/>
    <w:rsid w:val="005C0092"/>
    <w:rsid w:val="005E1C09"/>
    <w:rsid w:val="005F209E"/>
    <w:rsid w:val="00703B83"/>
    <w:rsid w:val="0072663D"/>
    <w:rsid w:val="007C1A32"/>
    <w:rsid w:val="007C6AC0"/>
    <w:rsid w:val="008214D7"/>
    <w:rsid w:val="00843295"/>
    <w:rsid w:val="00880D7A"/>
    <w:rsid w:val="00887AAF"/>
    <w:rsid w:val="008C2221"/>
    <w:rsid w:val="008F22C5"/>
    <w:rsid w:val="00910A8E"/>
    <w:rsid w:val="00915956"/>
    <w:rsid w:val="009222E0"/>
    <w:rsid w:val="00927250"/>
    <w:rsid w:val="00930AEC"/>
    <w:rsid w:val="0095560E"/>
    <w:rsid w:val="00973F42"/>
    <w:rsid w:val="009A2BCB"/>
    <w:rsid w:val="009C25E6"/>
    <w:rsid w:val="009D03A6"/>
    <w:rsid w:val="009D1DFA"/>
    <w:rsid w:val="009D4CDB"/>
    <w:rsid w:val="009D5D98"/>
    <w:rsid w:val="009F3C87"/>
    <w:rsid w:val="00A30DB4"/>
    <w:rsid w:val="00A51ACB"/>
    <w:rsid w:val="00A834D6"/>
    <w:rsid w:val="00AA59E4"/>
    <w:rsid w:val="00AC057F"/>
    <w:rsid w:val="00B12517"/>
    <w:rsid w:val="00B30A0A"/>
    <w:rsid w:val="00B316AA"/>
    <w:rsid w:val="00B50E1A"/>
    <w:rsid w:val="00B5332B"/>
    <w:rsid w:val="00B6476E"/>
    <w:rsid w:val="00B6705C"/>
    <w:rsid w:val="00BA75BD"/>
    <w:rsid w:val="00BD3EA6"/>
    <w:rsid w:val="00BD4AA8"/>
    <w:rsid w:val="00BF213B"/>
    <w:rsid w:val="00C173AB"/>
    <w:rsid w:val="00C24FF5"/>
    <w:rsid w:val="00C351DB"/>
    <w:rsid w:val="00C56573"/>
    <w:rsid w:val="00C74691"/>
    <w:rsid w:val="00CB7908"/>
    <w:rsid w:val="00CD298C"/>
    <w:rsid w:val="00CD4840"/>
    <w:rsid w:val="00D0103C"/>
    <w:rsid w:val="00D14090"/>
    <w:rsid w:val="00D3015B"/>
    <w:rsid w:val="00D50D12"/>
    <w:rsid w:val="00D63770"/>
    <w:rsid w:val="00D70BFE"/>
    <w:rsid w:val="00D827EB"/>
    <w:rsid w:val="00D83200"/>
    <w:rsid w:val="00DA6677"/>
    <w:rsid w:val="00DF7C1C"/>
    <w:rsid w:val="00E03191"/>
    <w:rsid w:val="00E37ADC"/>
    <w:rsid w:val="00E670AD"/>
    <w:rsid w:val="00E70430"/>
    <w:rsid w:val="00EB4353"/>
    <w:rsid w:val="00EE48B1"/>
    <w:rsid w:val="00F02B30"/>
    <w:rsid w:val="00F30479"/>
    <w:rsid w:val="00F47C85"/>
    <w:rsid w:val="00F96D3C"/>
    <w:rsid w:val="00FB1441"/>
    <w:rsid w:val="00FB753B"/>
    <w:rsid w:val="00FD5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C1AC0"/>
  <w15:docId w15:val="{82F0A037-ADBE-4332-B1C7-A907067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3">
    <w:name w:val="Medium Shading 1 Accent 3"/>
    <w:basedOn w:val="Standaardtabel"/>
    <w:uiPriority w:val="63"/>
    <w:rsid w:val="009D03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Koptekst">
    <w:name w:val="header"/>
    <w:basedOn w:val="Standaard"/>
    <w:link w:val="KoptekstChar"/>
    <w:uiPriority w:val="99"/>
    <w:unhideWhenUsed/>
    <w:rsid w:val="00FD5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0C4"/>
  </w:style>
  <w:style w:type="paragraph" w:styleId="Voettekst">
    <w:name w:val="footer"/>
    <w:basedOn w:val="Standaard"/>
    <w:link w:val="VoettekstChar"/>
    <w:uiPriority w:val="99"/>
    <w:unhideWhenUsed/>
    <w:rsid w:val="00FD5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0C4"/>
  </w:style>
  <w:style w:type="character" w:styleId="Verwijzingopmerking">
    <w:name w:val="annotation reference"/>
    <w:basedOn w:val="Standaardalinea-lettertype"/>
    <w:uiPriority w:val="99"/>
    <w:semiHidden/>
    <w:unhideWhenUsed/>
    <w:rsid w:val="00D83200"/>
    <w:rPr>
      <w:sz w:val="16"/>
      <w:szCs w:val="16"/>
    </w:rPr>
  </w:style>
  <w:style w:type="paragraph" w:styleId="Tekstopmerking">
    <w:name w:val="annotation text"/>
    <w:basedOn w:val="Standaard"/>
    <w:link w:val="TekstopmerkingChar"/>
    <w:uiPriority w:val="99"/>
    <w:semiHidden/>
    <w:unhideWhenUsed/>
    <w:rsid w:val="00D832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200"/>
    <w:rPr>
      <w:sz w:val="20"/>
      <w:szCs w:val="20"/>
    </w:rPr>
  </w:style>
  <w:style w:type="paragraph" w:styleId="Onderwerpvanopmerking">
    <w:name w:val="annotation subject"/>
    <w:basedOn w:val="Tekstopmerking"/>
    <w:next w:val="Tekstopmerking"/>
    <w:link w:val="OnderwerpvanopmerkingChar"/>
    <w:uiPriority w:val="99"/>
    <w:semiHidden/>
    <w:unhideWhenUsed/>
    <w:rsid w:val="00D83200"/>
    <w:rPr>
      <w:b/>
      <w:bCs/>
    </w:rPr>
  </w:style>
  <w:style w:type="character" w:customStyle="1" w:styleId="OnderwerpvanopmerkingChar">
    <w:name w:val="Onderwerp van opmerking Char"/>
    <w:basedOn w:val="TekstopmerkingChar"/>
    <w:link w:val="Onderwerpvanopmerking"/>
    <w:uiPriority w:val="99"/>
    <w:semiHidden/>
    <w:rsid w:val="00D83200"/>
    <w:rPr>
      <w:b/>
      <w:bCs/>
      <w:sz w:val="20"/>
      <w:szCs w:val="20"/>
    </w:rPr>
  </w:style>
  <w:style w:type="paragraph" w:styleId="Ballontekst">
    <w:name w:val="Balloon Text"/>
    <w:basedOn w:val="Standaard"/>
    <w:link w:val="BallontekstChar"/>
    <w:uiPriority w:val="99"/>
    <w:semiHidden/>
    <w:unhideWhenUsed/>
    <w:rsid w:val="00D832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3200"/>
    <w:rPr>
      <w:rFonts w:ascii="Segoe UI" w:hAnsi="Segoe UI" w:cs="Segoe UI"/>
      <w:sz w:val="18"/>
      <w:szCs w:val="18"/>
    </w:rPr>
  </w:style>
  <w:style w:type="paragraph" w:styleId="Lijstalinea">
    <w:name w:val="List Paragraph"/>
    <w:basedOn w:val="Standaard"/>
    <w:uiPriority w:val="34"/>
    <w:qFormat/>
    <w:rsid w:val="00D63770"/>
    <w:pPr>
      <w:ind w:left="720"/>
      <w:contextualSpacing/>
    </w:pPr>
  </w:style>
  <w:style w:type="character" w:styleId="Hyperlink">
    <w:name w:val="Hyperlink"/>
    <w:basedOn w:val="Standaardalinea-lettertype"/>
    <w:uiPriority w:val="99"/>
    <w:semiHidden/>
    <w:unhideWhenUsed/>
    <w:rsid w:val="00930AEC"/>
    <w:rPr>
      <w:color w:val="0563C1"/>
      <w:u w:val="single"/>
    </w:rPr>
  </w:style>
  <w:style w:type="paragraph" w:customStyle="1" w:styleId="Default">
    <w:name w:val="Default"/>
    <w:rsid w:val="00C74691"/>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C00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092"/>
    <w:rPr>
      <w:sz w:val="20"/>
      <w:szCs w:val="20"/>
    </w:rPr>
  </w:style>
  <w:style w:type="character" w:styleId="Voetnootmarkering">
    <w:name w:val="footnote reference"/>
    <w:basedOn w:val="Standaardalinea-lettertype"/>
    <w:uiPriority w:val="99"/>
    <w:semiHidden/>
    <w:unhideWhenUsed/>
    <w:rsid w:val="005C0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792E6CC2D54F40AF88C502090D10AF" ma:contentTypeVersion="8" ma:contentTypeDescription="Een nieuw document maken." ma:contentTypeScope="" ma:versionID="e278dc96ab857d5fdf24704d16455338">
  <xsd:schema xmlns:xsd="http://www.w3.org/2001/XMLSchema" xmlns:xs="http://www.w3.org/2001/XMLSchema" xmlns:p="http://schemas.microsoft.com/office/2006/metadata/properties" xmlns:ns2="bbaae8fc-5c61-4aa2-aa22-0edc3230639d" targetNamespace="http://schemas.microsoft.com/office/2006/metadata/properties" ma:root="true" ma:fieldsID="8ac299eb26161467feb52e6eaeceec8c" ns2:_="">
    <xsd:import namespace="bbaae8fc-5c61-4aa2-aa22-0edc323063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e8fc-5c61-4aa2-aa22-0edc32306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4C3D1-49BA-4F9C-B74F-9E5DFD0BBFF9}">
  <ds:schemaRefs>
    <ds:schemaRef ds:uri="http://schemas.openxmlformats.org/officeDocument/2006/bibliography"/>
  </ds:schemaRefs>
</ds:datastoreItem>
</file>

<file path=customXml/itemProps2.xml><?xml version="1.0" encoding="utf-8"?>
<ds:datastoreItem xmlns:ds="http://schemas.openxmlformats.org/officeDocument/2006/customXml" ds:itemID="{AAF1EBCE-9D27-44A7-8BDA-450728011963}"/>
</file>

<file path=customXml/itemProps3.xml><?xml version="1.0" encoding="utf-8"?>
<ds:datastoreItem xmlns:ds="http://schemas.openxmlformats.org/officeDocument/2006/customXml" ds:itemID="{326BA399-04E4-4FA5-8B9B-486A51EF7EC4}"/>
</file>

<file path=customXml/itemProps4.xml><?xml version="1.0" encoding="utf-8"?>
<ds:datastoreItem xmlns:ds="http://schemas.openxmlformats.org/officeDocument/2006/customXml" ds:itemID="{2A0D32E3-87E1-4DA8-BADF-6A8065126B76}"/>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 van Putten</dc:creator>
  <cp:lastModifiedBy>Stef van Putten</cp:lastModifiedBy>
  <cp:revision>2</cp:revision>
  <dcterms:created xsi:type="dcterms:W3CDTF">2022-04-28T06:55:00Z</dcterms:created>
  <dcterms:modified xsi:type="dcterms:W3CDTF">2022-04-28T06:55:00Z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0x010100A2792E6CC2D54F40AF88C502090D10AF</vt:lpwstr>
  </property>
</Properties>
</file>